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2FE68B">
      <w:pPr>
        <w:keepNext/>
        <w:keepLines/>
        <w:spacing w:before="260" w:after="260" w:line="416" w:lineRule="atLeast"/>
        <w:jc w:val="center"/>
        <w:outlineLvl w:val="1"/>
        <w:rPr>
          <w:rFonts w:hint="eastAsia" w:ascii="Times New Roman" w:hAnsi="Times New Roman" w:eastAsia="宋体"/>
          <w:b/>
          <w:bCs/>
          <w:sz w:val="28"/>
          <w:szCs w:val="28"/>
          <w:lang w:eastAsia="zh-CN"/>
        </w:rPr>
      </w:pPr>
    </w:p>
    <w:p w14:paraId="1752A185">
      <w:pPr>
        <w:keepNext/>
        <w:keepLines/>
        <w:spacing w:before="260" w:after="260" w:line="416" w:lineRule="atLeast"/>
        <w:jc w:val="center"/>
        <w:outlineLvl w:val="1"/>
        <w:rPr>
          <w:rFonts w:hint="eastAsia" w:ascii="Times New Roman" w:hAnsi="Times New Roman"/>
          <w:b/>
          <w:bCs/>
          <w:sz w:val="28"/>
          <w:szCs w:val="28"/>
        </w:rPr>
      </w:pPr>
    </w:p>
    <w:p w14:paraId="2C192A5C">
      <w:pPr>
        <w:pStyle w:val="2"/>
        <w:bidi w:val="0"/>
        <w:jc w:val="center"/>
        <w:rPr>
          <w:rFonts w:hint="eastAsia" w:ascii="Times New Roman" w:hAnsi="Times New Roman"/>
          <w:b/>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ascii="微软简老宋" w:hAnsi="微软简老宋" w:eastAsia="微软简老宋" w:cs="微软简老宋"/>
          <w:color w:val="FFFFFF" w:themeColor="background1"/>
          <w:sz w:val="84"/>
          <w:szCs w:val="84"/>
          <w:lang w:val="en-US" w:eastAsia="zh-CN"/>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2BCF7129">
      <w:pPr>
        <w:keepNext/>
        <w:keepLines/>
        <w:spacing w:before="260" w:after="260" w:line="416" w:lineRule="atLeast"/>
        <w:jc w:val="center"/>
        <w:outlineLvl w:val="1"/>
        <w:rPr>
          <w:rFonts w:hint="eastAsia" w:ascii="Times New Roman" w:hAnsi="Times New Roman"/>
          <w:b/>
          <w:bCs/>
          <w:sz w:val="52"/>
          <w:szCs w:val="52"/>
        </w:rPr>
      </w:pPr>
      <w:r>
        <w:rPr>
          <w:rFonts w:hint="eastAsia" w:ascii="Times New Roman" w:hAnsi="Times New Roman"/>
          <w:b/>
          <w:bCs/>
          <w:sz w:val="52"/>
          <w:szCs w:val="52"/>
        </w:rPr>
        <w:t>（第二版）</w:t>
      </w:r>
    </w:p>
    <w:p w14:paraId="23AD385F">
      <w:pPr>
        <w:keepNext/>
        <w:keepLines/>
        <w:spacing w:before="260" w:after="260" w:line="240" w:lineRule="auto"/>
        <w:jc w:val="center"/>
        <w:outlineLvl w:val="1"/>
        <w:rPr>
          <w:rFonts w:hint="eastAsia" w:ascii="Times New Roman" w:hAnsi="Times New Roman"/>
          <w:b/>
          <w:bCs/>
          <w:sz w:val="52"/>
          <w:szCs w:val="52"/>
        </w:rPr>
      </w:pPr>
    </w:p>
    <w:p w14:paraId="4C1314DC">
      <w:pPr>
        <w:keepNext/>
        <w:keepLines/>
        <w:spacing w:before="260" w:after="260" w:line="240" w:lineRule="auto"/>
        <w:jc w:val="center"/>
        <w:outlineLvl w:val="1"/>
        <w:rPr>
          <w:rFonts w:hint="eastAsia" w:ascii="Times New Roman" w:hAnsi="Times New Roman"/>
          <w:b/>
          <w:bCs/>
          <w:sz w:val="52"/>
          <w:szCs w:val="52"/>
        </w:rPr>
      </w:pPr>
    </w:p>
    <w:p w14:paraId="21545871">
      <w:pPr>
        <w:keepNext/>
        <w:keepLines/>
        <w:spacing w:before="260" w:after="260" w:line="240" w:lineRule="auto"/>
        <w:jc w:val="center"/>
        <w:outlineLvl w:val="1"/>
        <w:rPr>
          <w:rFonts w:hint="eastAsia" w:ascii="Times New Roman" w:hAnsi="Times New Roman"/>
          <w:b/>
          <w:bCs/>
          <w:sz w:val="30"/>
          <w:szCs w:val="30"/>
          <w:lang w:val="en-US" w:eastAsia="zh-CN"/>
        </w:rPr>
      </w:pPr>
    </w:p>
    <w:p w14:paraId="72DD4894">
      <w:pPr>
        <w:keepNext/>
        <w:keepLines/>
        <w:spacing w:before="260" w:after="260" w:line="240" w:lineRule="auto"/>
        <w:jc w:val="center"/>
        <w:outlineLvl w:val="1"/>
        <w:rPr>
          <w:rFonts w:hint="default" w:ascii="Times New Roman" w:hAnsi="Times New Roman" w:eastAsia="宋体"/>
          <w:b/>
          <w:bCs/>
          <w:sz w:val="52"/>
          <w:szCs w:val="52"/>
          <w:lang w:val="en-US" w:eastAsia="zh-CN"/>
        </w:rPr>
      </w:pPr>
      <w:r>
        <w:rPr>
          <w:rFonts w:hint="eastAsia" w:ascii="Times New Roman" w:hAnsi="Times New Roman"/>
          <w:b/>
          <w:bCs/>
          <w:sz w:val="30"/>
          <w:szCs w:val="30"/>
          <w:lang w:val="en-US" w:eastAsia="zh-CN"/>
        </w:rPr>
        <w:t>中南大学出版社</w:t>
      </w:r>
    </w:p>
    <w:p w14:paraId="5E81C5F3">
      <w:pPr>
        <w:keepNext/>
        <w:keepLines/>
        <w:spacing w:before="260" w:after="260" w:line="240" w:lineRule="auto"/>
        <w:jc w:val="center"/>
        <w:outlineLvl w:val="1"/>
        <w:rPr>
          <w:rFonts w:hint="eastAsia" w:ascii="Times New Roman" w:hAnsi="Times New Roman"/>
          <w:b/>
          <w:bCs/>
          <w:sz w:val="52"/>
          <w:szCs w:val="52"/>
        </w:rPr>
      </w:pPr>
    </w:p>
    <w:p w14:paraId="412EDB9B">
      <w:pPr>
        <w:keepNext/>
        <w:keepLines/>
        <w:spacing w:before="260" w:after="260" w:line="240" w:lineRule="auto"/>
        <w:jc w:val="center"/>
        <w:outlineLvl w:val="1"/>
        <w:rPr>
          <w:rFonts w:hint="eastAsia" w:ascii="Times New Roman" w:hAnsi="Times New Roman"/>
          <w:b/>
          <w:bCs/>
          <w:sz w:val="52"/>
          <w:szCs w:val="52"/>
        </w:rPr>
      </w:pPr>
    </w:p>
    <w:p w14:paraId="1DE0F138">
      <w:pPr>
        <w:keepNext/>
        <w:keepLines/>
        <w:spacing w:before="260" w:after="260" w:line="240" w:lineRule="auto"/>
        <w:jc w:val="center"/>
        <w:outlineLvl w:val="1"/>
        <w:rPr>
          <w:rFonts w:hint="eastAsia" w:ascii="Times New Roman" w:hAnsi="Times New Roman"/>
          <w:b/>
          <w:bCs/>
          <w:sz w:val="52"/>
          <w:szCs w:val="52"/>
        </w:rPr>
      </w:pPr>
    </w:p>
    <w:p w14:paraId="7F875E9A">
      <w:pPr>
        <w:keepNext/>
        <w:keepLines/>
        <w:spacing w:before="260" w:after="260" w:line="240" w:lineRule="auto"/>
        <w:jc w:val="center"/>
        <w:outlineLvl w:val="1"/>
        <w:rPr>
          <w:rFonts w:hint="eastAsia" w:ascii="Times New Roman" w:hAnsi="Times New Roman"/>
          <w:b/>
          <w:bCs/>
          <w:sz w:val="28"/>
          <w:szCs w:val="28"/>
        </w:rPr>
      </w:pPr>
    </w:p>
    <w:p w14:paraId="25768923">
      <w:pPr>
        <w:keepNext/>
        <w:keepLines/>
        <w:spacing w:before="260" w:after="260" w:line="240" w:lineRule="auto"/>
        <w:jc w:val="center"/>
        <w:outlineLvl w:val="1"/>
        <w:rPr>
          <w:rFonts w:hint="eastAsia" w:ascii="Times New Roman" w:hAnsi="Times New Roman"/>
          <w:b/>
          <w:bCs/>
          <w:sz w:val="28"/>
          <w:szCs w:val="28"/>
        </w:rPr>
      </w:pPr>
    </w:p>
    <w:p w14:paraId="7B0338A8">
      <w:pPr>
        <w:keepNext/>
        <w:keepLines/>
        <w:spacing w:before="260" w:after="260" w:line="240" w:lineRule="auto"/>
        <w:jc w:val="center"/>
        <w:outlineLvl w:val="1"/>
        <w:rPr>
          <w:rFonts w:hint="eastAsia" w:ascii="Times New Roman" w:hAnsi="Times New Roman"/>
          <w:b/>
          <w:bCs/>
          <w:sz w:val="28"/>
          <w:szCs w:val="28"/>
        </w:rPr>
      </w:pPr>
    </w:p>
    <w:p w14:paraId="00F1166D">
      <w:pPr>
        <w:keepNext/>
        <w:keepLines/>
        <w:spacing w:before="260" w:after="260" w:line="240" w:lineRule="auto"/>
        <w:jc w:val="center"/>
        <w:outlineLvl w:val="1"/>
        <w:rPr>
          <w:rFonts w:hint="eastAsia" w:ascii="Times New Roman" w:hAnsi="Times New Roman"/>
          <w:b/>
          <w:bCs/>
          <w:sz w:val="28"/>
          <w:szCs w:val="28"/>
        </w:rPr>
      </w:pPr>
    </w:p>
    <w:p w14:paraId="23BA17FF">
      <w:pPr>
        <w:keepNext/>
        <w:keepLines/>
        <w:spacing w:before="260" w:after="260" w:line="240" w:lineRule="auto"/>
        <w:jc w:val="center"/>
        <w:outlineLvl w:val="1"/>
        <w:rPr>
          <w:rFonts w:hint="eastAsia" w:ascii="Times New Roman" w:hAnsi="Times New Roman"/>
          <w:b/>
          <w:bCs/>
          <w:sz w:val="28"/>
          <w:szCs w:val="28"/>
        </w:rPr>
      </w:pPr>
    </w:p>
    <w:p w14:paraId="4CE1FFFF">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14:paraId="29D5CC5B">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eastAsia="微软简老宋" w:cs="微软简老宋"/>
          <w:b w:val="0"/>
          <w:bCs w:val="0"/>
          <w:color w:val="00B0F0"/>
          <w:sz w:val="32"/>
          <w:szCs w:val="32"/>
          <w:lang w:val="en-US" w:eastAsia="zh-CN"/>
        </w:rPr>
        <w:t>项目三  实验室检查</w:t>
      </w:r>
    </w:p>
    <w:tbl>
      <w:tblPr>
        <w:tblStyle w:val="10"/>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384969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2478157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7173" w:type="dxa"/>
            <w:gridSpan w:val="2"/>
            <w:tcBorders>
              <w:tl2br w:val="nil"/>
              <w:tr2bl w:val="nil"/>
            </w:tcBorders>
            <w:vAlign w:val="center"/>
          </w:tcPr>
          <w:p w14:paraId="35FA90CE">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b/>
                <w:bCs/>
                <w:color w:val="00B0F0"/>
                <w:sz w:val="32"/>
                <w:szCs w:val="32"/>
                <w:lang w:val="en-US" w:eastAsia="zh-CN"/>
              </w:rPr>
              <w:t>实验室检查</w:t>
            </w:r>
          </w:p>
        </w:tc>
      </w:tr>
      <w:tr w14:paraId="3876352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54D3FE4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7173" w:type="dxa"/>
            <w:gridSpan w:val="2"/>
            <w:tcBorders>
              <w:tl2br w:val="nil"/>
              <w:tr2bl w:val="nil"/>
            </w:tcBorders>
            <w:vAlign w:val="center"/>
          </w:tcPr>
          <w:p w14:paraId="50F2858C">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4</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180</w:t>
            </w:r>
            <w:r>
              <w:rPr>
                <w:rFonts w:hint="eastAsia" w:ascii="Times New Roman" w:hAnsi="宋体"/>
                <w:sz w:val="24"/>
                <w:szCs w:val="24"/>
              </w:rPr>
              <w:t>min）。</w:t>
            </w:r>
          </w:p>
        </w:tc>
      </w:tr>
      <w:tr w14:paraId="061FC37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2B3F2A47">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7173" w:type="dxa"/>
            <w:gridSpan w:val="2"/>
            <w:tcBorders>
              <w:tl2br w:val="nil"/>
              <w:tr2bl w:val="nil"/>
            </w:tcBorders>
            <w:vAlign w:val="center"/>
          </w:tcPr>
          <w:p w14:paraId="03E501A4">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36F762F4">
            <w:pPr>
              <w:keepNext w:val="0"/>
              <w:keepLines w:val="0"/>
              <w:suppressLineNumbers w:val="0"/>
              <w:spacing w:before="0" w:beforeAutospacing="0" w:after="0" w:afterAutospacing="0" w:line="360" w:lineRule="auto"/>
              <w:ind w:right="0" w:firstLine="480" w:firstLineChars="200"/>
              <w:rPr>
                <w:rFonts w:hint="eastAsia" w:ascii="宋体" w:hAnsi="宋体" w:cs="宋体"/>
                <w:kern w:val="0"/>
                <w:sz w:val="24"/>
                <w:szCs w:val="24"/>
                <w:lang w:val="en-US" w:eastAsia="zh-CN"/>
              </w:rPr>
            </w:pPr>
            <w:r>
              <w:rPr>
                <w:rFonts w:hint="eastAsia" w:ascii="宋体" w:hAnsi="宋体" w:cs="宋体"/>
                <w:kern w:val="0"/>
                <w:sz w:val="24"/>
                <w:szCs w:val="24"/>
                <w:lang w:val="en-US" w:eastAsia="zh-CN"/>
              </w:rPr>
              <w:t>掌握实验室检查项目的参考值，分析判断异常改变的临床意义。</w:t>
            </w:r>
          </w:p>
          <w:p w14:paraId="03B05BE9">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eastAsia" w:hAnsi="宋体"/>
                <w:b/>
                <w:color w:val="00B0F0"/>
                <w:sz w:val="24"/>
                <w:szCs w:val="24"/>
                <w:lang w:val="en-US" w:eastAsia="zh-CN"/>
              </w:rPr>
              <w:t>能力</w:t>
            </w:r>
            <w:r>
              <w:rPr>
                <w:rFonts w:hint="default" w:hAnsi="宋体"/>
                <w:b/>
                <w:color w:val="00B0F0"/>
                <w:sz w:val="24"/>
                <w:szCs w:val="24"/>
              </w:rPr>
              <w:t>目标：</w:t>
            </w:r>
          </w:p>
          <w:p w14:paraId="2948F463">
            <w:pPr>
              <w:keepNext w:val="0"/>
              <w:keepLines w:val="0"/>
              <w:suppressLineNumbers w:val="0"/>
              <w:spacing w:before="0" w:beforeAutospacing="0" w:after="0" w:afterAutospacing="0" w:line="360" w:lineRule="auto"/>
              <w:ind w:right="0"/>
              <w:rPr>
                <w:rFonts w:hint="default" w:ascii="宋体" w:hAnsi="宋体" w:cs="宋体"/>
                <w:kern w:val="0"/>
                <w:sz w:val="24"/>
                <w:szCs w:val="24"/>
                <w:lang w:val="en-US" w:eastAsia="zh-CN"/>
              </w:rPr>
            </w:pPr>
            <w:r>
              <w:rPr>
                <w:rFonts w:hint="eastAsia" w:ascii="宋体" w:hAnsi="宋体" w:cs="宋体"/>
                <w:kern w:val="0"/>
                <w:sz w:val="24"/>
                <w:szCs w:val="24"/>
                <w:lang w:val="en-US" w:eastAsia="zh-CN"/>
              </w:rPr>
              <w:t xml:space="preserve">    学会实验室检查的标本采集方法。</w:t>
            </w:r>
          </w:p>
          <w:p w14:paraId="64F9F6E3">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30FEBBA2">
            <w:pPr>
              <w:keepNext w:val="0"/>
              <w:keepLines w:val="0"/>
              <w:suppressLineNumbers w:val="0"/>
              <w:spacing w:before="0" w:beforeAutospacing="0" w:after="0" w:afterAutospacing="0" w:line="360" w:lineRule="auto"/>
              <w:ind w:left="239" w:leftChars="114" w:right="0" w:firstLine="230" w:firstLineChars="96"/>
              <w:rPr>
                <w:rFonts w:hint="default" w:ascii="Times New Roman" w:hAnsi="Times New Roman"/>
                <w:sz w:val="24"/>
                <w:szCs w:val="24"/>
              </w:rPr>
            </w:pPr>
            <w:r>
              <w:rPr>
                <w:rFonts w:hint="eastAsia" w:ascii="宋体" w:hAnsi="宋体" w:cs="宋体"/>
                <w:color w:val="auto"/>
                <w:sz w:val="24"/>
                <w:szCs w:val="24"/>
                <w:lang w:eastAsia="zh-CN"/>
              </w:rPr>
              <w:t>培养</w:t>
            </w:r>
            <w:r>
              <w:rPr>
                <w:rFonts w:ascii="宋体" w:hAnsi="宋体" w:eastAsia="宋体" w:cs="宋体"/>
                <w:color w:val="auto"/>
                <w:sz w:val="24"/>
                <w:szCs w:val="24"/>
              </w:rPr>
              <w:t>科学系统的思维方法，提升独立分析、精准判断的专业能力。</w:t>
            </w:r>
          </w:p>
        </w:tc>
      </w:tr>
      <w:tr w14:paraId="32856297">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51A560B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7173" w:type="dxa"/>
            <w:gridSpan w:val="2"/>
            <w:tcBorders>
              <w:tl2br w:val="nil"/>
              <w:tr2bl w:val="nil"/>
            </w:tcBorders>
            <w:vAlign w:val="center"/>
          </w:tcPr>
          <w:p w14:paraId="4D74BA4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color w:val="00B0F0"/>
                <w:sz w:val="24"/>
                <w:szCs w:val="24"/>
              </w:rPr>
              <w:t>教学重点：</w:t>
            </w:r>
            <w:r>
              <w:rPr>
                <w:rFonts w:hint="eastAsia" w:ascii="宋体" w:hAnsi="宋体" w:cs="宋体"/>
                <w:kern w:val="0"/>
                <w:sz w:val="24"/>
                <w:szCs w:val="24"/>
                <w:lang w:val="en-US" w:eastAsia="zh-CN"/>
              </w:rPr>
              <w:t>血液检查</w:t>
            </w:r>
            <w:bookmarkStart w:id="0" w:name="_GoBack"/>
            <w:bookmarkEnd w:id="0"/>
          </w:p>
          <w:p w14:paraId="3D51F38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color w:val="00B0F0"/>
                <w:sz w:val="24"/>
                <w:szCs w:val="24"/>
              </w:rPr>
              <w:t>教学难点：</w:t>
            </w:r>
            <w:r>
              <w:rPr>
                <w:rFonts w:hint="eastAsia" w:ascii="宋体" w:hAnsi="宋体" w:cs="宋体"/>
                <w:kern w:val="0"/>
                <w:sz w:val="24"/>
                <w:szCs w:val="24"/>
                <w:lang w:val="en-US" w:eastAsia="zh-CN"/>
              </w:rPr>
              <w:t>实验室检查</w:t>
            </w:r>
          </w:p>
        </w:tc>
      </w:tr>
      <w:tr w14:paraId="4FD6966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4106A65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7173" w:type="dxa"/>
            <w:gridSpan w:val="2"/>
            <w:tcBorders>
              <w:tl2br w:val="nil"/>
              <w:tr2bl w:val="nil"/>
            </w:tcBorders>
            <w:vAlign w:val="center"/>
          </w:tcPr>
          <w:p w14:paraId="65CC6B2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宋体" w:hAnsi="宋体" w:cs="宋体"/>
                <w:kern w:val="0"/>
                <w:sz w:val="24"/>
                <w:szCs w:val="24"/>
                <w:lang w:eastAsia="zh-CN"/>
              </w:rPr>
              <w:t>讲授法、问答法、讨论法</w:t>
            </w:r>
          </w:p>
        </w:tc>
      </w:tr>
      <w:tr w14:paraId="6248C57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11A4FBAE">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7173" w:type="dxa"/>
            <w:gridSpan w:val="2"/>
            <w:tcBorders>
              <w:tl2br w:val="nil"/>
              <w:tr2bl w:val="nil"/>
            </w:tcBorders>
            <w:vAlign w:val="center"/>
          </w:tcPr>
          <w:p w14:paraId="573BEBB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宋体" w:hAnsi="宋体" w:cs="宋体"/>
                <w:kern w:val="0"/>
                <w:sz w:val="24"/>
                <w:szCs w:val="24"/>
                <w:lang w:eastAsia="zh-CN"/>
              </w:rPr>
              <w:t>电脑、投影仪、</w:t>
            </w:r>
            <w:r>
              <w:rPr>
                <w:rFonts w:hint="default" w:ascii="宋体" w:hAnsi="宋体" w:cs="宋体"/>
                <w:kern w:val="0"/>
                <w:sz w:val="24"/>
                <w:szCs w:val="24"/>
                <w:lang w:eastAsia="zh-CN"/>
              </w:rPr>
              <w:t>多媒体</w:t>
            </w:r>
            <w:r>
              <w:rPr>
                <w:rFonts w:hint="eastAsia" w:ascii="宋体" w:hAnsi="宋体" w:cs="宋体"/>
                <w:kern w:val="0"/>
                <w:sz w:val="24"/>
                <w:szCs w:val="24"/>
                <w:lang w:eastAsia="zh-CN"/>
              </w:rPr>
              <w:t>课件、教材</w:t>
            </w:r>
          </w:p>
        </w:tc>
      </w:tr>
      <w:tr w14:paraId="77732F8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bottom w:val="double" w:color="4472C4" w:themeColor="accent5" w:sz="4" w:space="0"/>
              <w:tl2br w:val="nil"/>
              <w:tr2bl w:val="nil"/>
            </w:tcBorders>
            <w:shd w:val="clear" w:color="auto" w:fill="B7F1FF"/>
            <w:vAlign w:val="center"/>
          </w:tcPr>
          <w:p w14:paraId="6949DB5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7173" w:type="dxa"/>
            <w:gridSpan w:val="2"/>
            <w:tcBorders>
              <w:bottom w:val="double" w:color="4472C4" w:themeColor="accent5" w:sz="4" w:space="0"/>
              <w:tl2br w:val="nil"/>
              <w:tr2bl w:val="nil"/>
            </w:tcBorders>
            <w:vAlign w:val="center"/>
          </w:tcPr>
          <w:p w14:paraId="32B49DEA">
            <w:pPr>
              <w:keepNext w:val="0"/>
              <w:keepLines w:val="0"/>
              <w:suppressLineNumbers w:val="0"/>
              <w:spacing w:before="0" w:beforeAutospacing="0" w:after="0" w:afterAutospacing="0" w:line="360" w:lineRule="auto"/>
              <w:ind w:left="0" w:right="0"/>
              <w:jc w:val="left"/>
              <w:rPr>
                <w:rFonts w:hint="default" w:ascii="宋体" w:hAnsi="宋体" w:cs="宋体"/>
                <w:kern w:val="0"/>
                <w:sz w:val="24"/>
                <w:szCs w:val="24"/>
                <w:lang w:val="en-US" w:eastAsia="zh-CN"/>
              </w:rPr>
            </w:pPr>
            <w:r>
              <w:rPr>
                <w:rFonts w:hint="eastAsia" w:ascii="宋体" w:hAnsi="宋体" w:cs="宋体"/>
                <w:kern w:val="0"/>
                <w:sz w:val="24"/>
                <w:szCs w:val="24"/>
                <w:lang w:eastAsia="zh-CN"/>
              </w:rPr>
              <w:t>第</w:t>
            </w:r>
            <w:r>
              <w:rPr>
                <w:rFonts w:hint="default" w:ascii="宋体" w:hAnsi="宋体" w:cs="宋体"/>
                <w:kern w:val="0"/>
                <w:sz w:val="24"/>
                <w:szCs w:val="24"/>
                <w:lang w:eastAsia="zh-CN"/>
              </w:rPr>
              <w:t>1</w:t>
            </w:r>
            <w:r>
              <w:rPr>
                <w:rFonts w:hint="eastAsia" w:ascii="宋体" w:hAnsi="宋体" w:cs="宋体"/>
                <w:kern w:val="0"/>
                <w:sz w:val="24"/>
                <w:szCs w:val="24"/>
                <w:lang w:eastAsia="zh-CN"/>
              </w:rPr>
              <w:t>节课：考勤（</w:t>
            </w:r>
            <w:r>
              <w:rPr>
                <w:rFonts w:hint="eastAsia" w:ascii="宋体" w:hAnsi="宋体" w:cs="宋体"/>
                <w:kern w:val="0"/>
                <w:sz w:val="24"/>
                <w:szCs w:val="24"/>
                <w:lang w:val="en-US" w:eastAsia="zh-CN"/>
              </w:rPr>
              <w:t>2</w:t>
            </w:r>
            <w:r>
              <w:rPr>
                <w:rFonts w:hint="eastAsia" w:ascii="宋体" w:hAnsi="宋体" w:cs="宋体"/>
                <w:kern w:val="0"/>
                <w:sz w:val="24"/>
                <w:szCs w:val="24"/>
                <w:lang w:eastAsia="zh-CN"/>
              </w:rPr>
              <w:t>min）--知识讲解（</w:t>
            </w:r>
            <w:r>
              <w:rPr>
                <w:rFonts w:hint="default" w:ascii="宋体" w:hAnsi="宋体" w:cs="宋体"/>
                <w:kern w:val="0"/>
                <w:sz w:val="24"/>
                <w:szCs w:val="24"/>
                <w:lang w:eastAsia="zh-CN"/>
              </w:rPr>
              <w:t>40</w:t>
            </w:r>
            <w:r>
              <w:rPr>
                <w:rFonts w:hint="eastAsia" w:ascii="宋体" w:hAnsi="宋体" w:cs="宋体"/>
                <w:kern w:val="0"/>
                <w:sz w:val="24"/>
                <w:szCs w:val="24"/>
                <w:lang w:eastAsia="zh-CN"/>
              </w:rPr>
              <w:t>min）</w:t>
            </w:r>
            <w:r>
              <w:rPr>
                <w:rFonts w:hint="eastAsia" w:ascii="宋体" w:hAnsi="宋体" w:cs="宋体"/>
                <w:kern w:val="0"/>
                <w:sz w:val="24"/>
                <w:szCs w:val="24"/>
                <w:lang w:val="en-US" w:eastAsia="zh-CN"/>
              </w:rPr>
              <w:t>--作业布置（3min）</w:t>
            </w:r>
          </w:p>
          <w:p w14:paraId="5A8409D8">
            <w:pPr>
              <w:keepNext w:val="0"/>
              <w:keepLines w:val="0"/>
              <w:suppressLineNumbers w:val="0"/>
              <w:spacing w:before="0" w:beforeAutospacing="0" w:after="0" w:afterAutospacing="0" w:line="360" w:lineRule="auto"/>
              <w:ind w:left="0" w:right="0"/>
              <w:jc w:val="left"/>
              <w:rPr>
                <w:rFonts w:hint="default" w:ascii="宋体" w:hAnsi="宋体" w:cs="宋体"/>
                <w:kern w:val="0"/>
                <w:sz w:val="24"/>
                <w:szCs w:val="24"/>
                <w:lang w:val="en-US" w:eastAsia="zh-CN"/>
              </w:rPr>
            </w:pPr>
            <w:r>
              <w:rPr>
                <w:rFonts w:hint="eastAsia" w:ascii="宋体" w:hAnsi="宋体" w:cs="宋体"/>
                <w:kern w:val="0"/>
                <w:sz w:val="24"/>
                <w:szCs w:val="24"/>
                <w:lang w:eastAsia="zh-CN"/>
              </w:rPr>
              <w:t>第</w:t>
            </w:r>
            <w:r>
              <w:rPr>
                <w:rFonts w:hint="default" w:ascii="宋体" w:hAnsi="宋体" w:cs="宋体"/>
                <w:kern w:val="0"/>
                <w:sz w:val="24"/>
                <w:szCs w:val="24"/>
                <w:lang w:eastAsia="zh-CN"/>
              </w:rPr>
              <w:t>2</w:t>
            </w:r>
            <w:r>
              <w:rPr>
                <w:rFonts w:hint="eastAsia" w:ascii="宋体" w:hAnsi="宋体" w:cs="宋体"/>
                <w:kern w:val="0"/>
                <w:sz w:val="24"/>
                <w:szCs w:val="24"/>
                <w:lang w:eastAsia="zh-CN"/>
              </w:rPr>
              <w:t>节课：知识讲解（40min）--课堂小结（3min）</w:t>
            </w:r>
            <w:r>
              <w:rPr>
                <w:rFonts w:hint="eastAsia" w:ascii="宋体" w:hAnsi="宋体" w:cs="宋体"/>
                <w:kern w:val="0"/>
                <w:sz w:val="24"/>
                <w:szCs w:val="24"/>
                <w:lang w:val="en-US" w:eastAsia="zh-CN"/>
              </w:rPr>
              <w:t>--作业布置（2min）</w:t>
            </w:r>
          </w:p>
          <w:p w14:paraId="1F7CDDF1">
            <w:pPr>
              <w:keepNext w:val="0"/>
              <w:keepLines w:val="0"/>
              <w:suppressLineNumbers w:val="0"/>
              <w:spacing w:before="0" w:beforeAutospacing="0" w:after="0" w:afterAutospacing="0" w:line="360" w:lineRule="auto"/>
              <w:ind w:left="0" w:right="0"/>
              <w:jc w:val="left"/>
              <w:rPr>
                <w:rFonts w:hint="eastAsia" w:ascii="宋体" w:hAnsi="宋体" w:cs="宋体"/>
                <w:kern w:val="0"/>
                <w:sz w:val="24"/>
                <w:szCs w:val="24"/>
                <w:lang w:eastAsia="zh-CN"/>
              </w:rPr>
            </w:pPr>
            <w:r>
              <w:rPr>
                <w:rFonts w:hint="eastAsia" w:ascii="宋体" w:hAnsi="宋体" w:cs="宋体"/>
                <w:kern w:val="0"/>
                <w:sz w:val="24"/>
                <w:szCs w:val="24"/>
                <w:lang w:eastAsia="zh-CN"/>
              </w:rPr>
              <w:t>第</w:t>
            </w:r>
            <w:r>
              <w:rPr>
                <w:rFonts w:hint="default" w:ascii="宋体" w:hAnsi="宋体" w:cs="宋体"/>
                <w:kern w:val="0"/>
                <w:sz w:val="24"/>
                <w:szCs w:val="24"/>
                <w:lang w:eastAsia="zh-CN"/>
              </w:rPr>
              <w:t>3</w:t>
            </w:r>
            <w:r>
              <w:rPr>
                <w:rFonts w:hint="eastAsia" w:ascii="宋体" w:hAnsi="宋体" w:cs="宋体"/>
                <w:kern w:val="0"/>
                <w:sz w:val="24"/>
                <w:szCs w:val="24"/>
                <w:lang w:eastAsia="zh-CN"/>
              </w:rPr>
              <w:t>节课：知识讲解（40min）--课堂小结（3min）--作业布置（2min）</w:t>
            </w:r>
          </w:p>
          <w:p w14:paraId="14152BC0">
            <w:pPr>
              <w:keepNext w:val="0"/>
              <w:keepLines w:val="0"/>
              <w:suppressLineNumbers w:val="0"/>
              <w:spacing w:before="0" w:beforeAutospacing="0" w:after="0" w:afterAutospacing="0" w:line="360" w:lineRule="auto"/>
              <w:ind w:left="0" w:right="0"/>
              <w:jc w:val="left"/>
              <w:rPr>
                <w:rFonts w:hint="default" w:ascii="Times New Roman" w:hAnsi="宋体"/>
                <w:sz w:val="24"/>
                <w:szCs w:val="24"/>
              </w:rPr>
            </w:pPr>
            <w:r>
              <w:rPr>
                <w:rFonts w:hint="default" w:ascii="宋体" w:hAnsi="宋体" w:cs="宋体"/>
                <w:kern w:val="0"/>
                <w:sz w:val="24"/>
                <w:szCs w:val="24"/>
                <w:lang w:eastAsia="zh-CN"/>
              </w:rPr>
              <w:t>第</w:t>
            </w:r>
            <w:r>
              <w:rPr>
                <w:rFonts w:hint="eastAsia" w:ascii="宋体" w:hAnsi="宋体" w:cs="宋体"/>
                <w:kern w:val="0"/>
                <w:sz w:val="24"/>
                <w:szCs w:val="24"/>
                <w:lang w:val="en-US" w:eastAsia="zh-CN"/>
              </w:rPr>
              <w:t>4</w:t>
            </w:r>
            <w:r>
              <w:rPr>
                <w:rFonts w:hint="default" w:ascii="宋体" w:hAnsi="宋体" w:cs="宋体"/>
                <w:kern w:val="0"/>
                <w:sz w:val="24"/>
                <w:szCs w:val="24"/>
                <w:lang w:eastAsia="zh-CN"/>
              </w:rPr>
              <w:t>节课：知识讲解（40min）--课堂小结（3min）--作业布置（2min）</w:t>
            </w:r>
          </w:p>
        </w:tc>
      </w:tr>
      <w:tr w14:paraId="0B7D039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op w:val="double" w:color="4472C4" w:themeColor="accent5" w:sz="4" w:space="0"/>
              <w:bottom w:val="double" w:color="4472C4" w:themeColor="accent5" w:sz="4" w:space="0"/>
            </w:tcBorders>
            <w:shd w:val="clear" w:color="auto" w:fill="00B0F0"/>
            <w:vAlign w:val="center"/>
          </w:tcPr>
          <w:p w14:paraId="08947511">
            <w:pPr>
              <w:keepNext w:val="0"/>
              <w:keepLines w:val="0"/>
              <w:suppressLineNumbers w:val="0"/>
              <w:spacing w:before="0" w:beforeAutospacing="0" w:after="0" w:afterAutospacing="0" w:line="360" w:lineRule="auto"/>
              <w:ind w:left="0" w:right="0" w:hanging="8"/>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教学过程</w:t>
            </w:r>
          </w:p>
        </w:tc>
        <w:tc>
          <w:tcPr>
            <w:tcW w:w="5807" w:type="dxa"/>
            <w:tcBorders>
              <w:top w:val="double" w:color="4472C4" w:themeColor="accent5" w:sz="4" w:space="0"/>
              <w:bottom w:val="double" w:color="4472C4" w:themeColor="accent5" w:sz="4" w:space="0"/>
            </w:tcBorders>
            <w:shd w:val="clear" w:color="auto" w:fill="00B0F0"/>
            <w:vAlign w:val="center"/>
          </w:tcPr>
          <w:p w14:paraId="0DCD2181">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eastAsia" w:ascii="Times New Roman" w:hAnsi="Times New Roman"/>
                <w:b/>
                <w:bCs w:val="0"/>
                <w:color w:val="FFFFFF" w:themeColor="background1"/>
                <w:sz w:val="24"/>
                <w:szCs w:val="24"/>
                <w14:textFill>
                  <w14:solidFill>
                    <w14:schemeClr w14:val="bg1"/>
                  </w14:solidFill>
                </w14:textFill>
              </w:rPr>
              <w:t>主要教学内容及步骤</w:t>
            </w:r>
          </w:p>
        </w:tc>
        <w:tc>
          <w:tcPr>
            <w:tcW w:w="1366" w:type="dxa"/>
            <w:tcBorders>
              <w:top w:val="double" w:color="4472C4" w:themeColor="accent5" w:sz="4" w:space="0"/>
              <w:bottom w:val="double" w:color="4472C4" w:themeColor="accent5" w:sz="4" w:space="0"/>
            </w:tcBorders>
            <w:shd w:val="clear" w:color="auto" w:fill="00B0F0"/>
            <w:vAlign w:val="center"/>
          </w:tcPr>
          <w:p w14:paraId="2AB6DCBA">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FFFFFF" w:themeColor="background1"/>
                <w:sz w:val="24"/>
                <w:szCs w:val="24"/>
                <w14:textFill>
                  <w14:solidFill>
                    <w14:schemeClr w14:val="bg1"/>
                  </w14:solidFill>
                </w14:textFill>
              </w:rPr>
            </w:pPr>
            <w:r>
              <w:rPr>
                <w:rFonts w:hint="default" w:ascii="Times New Roman" w:hAnsi="Times New Roman"/>
                <w:b/>
                <w:bCs w:val="0"/>
                <w:color w:val="FFFFFF" w:themeColor="background1"/>
                <w:sz w:val="24"/>
                <w:szCs w:val="24"/>
                <w14:textFill>
                  <w14:solidFill>
                    <w14:schemeClr w14:val="bg1"/>
                  </w14:solidFill>
                </w14:textFill>
              </w:rPr>
              <w:t>设计意图</w:t>
            </w:r>
          </w:p>
        </w:tc>
      </w:tr>
      <w:tr w14:paraId="199800F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op w:val="double" w:color="4472C4" w:themeColor="accent5" w:sz="4" w:space="0"/>
              <w:tl2br w:val="nil"/>
              <w:tr2bl w:val="nil"/>
            </w:tcBorders>
            <w:shd w:val="clear" w:color="auto" w:fill="B7F1FF"/>
            <w:vAlign w:val="center"/>
          </w:tcPr>
          <w:p w14:paraId="0EEAD106">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14:paraId="593C4683">
            <w:pPr>
              <w:keepNext w:val="0"/>
              <w:keepLines w:val="0"/>
              <w:suppressLineNumbers w:val="0"/>
              <w:spacing w:before="0" w:beforeAutospacing="0" w:after="0" w:afterAutospacing="0" w:line="360"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5807" w:type="dxa"/>
            <w:tcBorders>
              <w:top w:val="double" w:color="4472C4" w:themeColor="accent5" w:sz="4" w:space="0"/>
              <w:tl2br w:val="nil"/>
              <w:tr2bl w:val="nil"/>
            </w:tcBorders>
            <w:vAlign w:val="center"/>
          </w:tcPr>
          <w:p w14:paraId="7F84D9A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FC6E9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366" w:type="dxa"/>
            <w:tcBorders>
              <w:top w:val="double" w:color="4472C4" w:themeColor="accent5" w:sz="4" w:space="0"/>
              <w:tl2br w:val="nil"/>
              <w:tr2bl w:val="nil"/>
            </w:tcBorders>
            <w:vAlign w:val="center"/>
          </w:tcPr>
          <w:p w14:paraId="47E834E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07096F7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4D58D315">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4F89A0A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5807" w:type="dxa"/>
            <w:tcBorders>
              <w:tl2br w:val="nil"/>
              <w:tr2bl w:val="nil"/>
            </w:tcBorders>
            <w:vAlign w:val="center"/>
          </w:tcPr>
          <w:p w14:paraId="3F96D1EF">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jc w:val="left"/>
              <w:textAlignment w:val="auto"/>
              <w:rPr>
                <w:rFonts w:hint="eastAsia" w:ascii="Times New Roman" w:hAnsi="Times New Roman"/>
                <w:b/>
                <w:color w:val="C00000"/>
                <w:sz w:val="24"/>
                <w:szCs w:val="24"/>
                <w:lang w:eastAsia="zh-CN"/>
              </w:rPr>
            </w:pPr>
            <w:r>
              <w:rPr>
                <w:rFonts w:hint="eastAsia" w:ascii="Times New Roman" w:hAnsi="Times New Roman"/>
                <w:b/>
                <w:color w:val="C00000"/>
              </w:rPr>
              <w:t>【</w:t>
            </w:r>
            <w:r>
              <w:rPr>
                <w:rFonts w:hint="eastAsia" w:ascii="Times New Roman" w:hAnsi="Times New Roman"/>
                <w:b/>
                <w:color w:val="C00000"/>
                <w:sz w:val="24"/>
                <w:szCs w:val="24"/>
              </w:rPr>
              <w:t>教师】</w:t>
            </w:r>
            <w:r>
              <w:rPr>
                <w:rFonts w:hint="eastAsia" w:ascii="Times New Roman" w:hAnsi="Times New Roman"/>
                <w:b w:val="0"/>
                <w:bCs/>
                <w:color w:val="C00000"/>
                <w:sz w:val="24"/>
                <w:szCs w:val="24"/>
                <w:lang w:val="en-US" w:eastAsia="zh-CN"/>
              </w:rPr>
              <w:t>展示血液检查</w:t>
            </w:r>
          </w:p>
          <w:p w14:paraId="1ED44E67">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血液检查包括血细胞成分的常规检测（简称血常规）、网织红细胞检测和红细胞沉降率。血液常规检测（blood routine test）包括红细胞计数（red blood cell count，RBC）、血红蛋白测定（hemoglobin，Hb）、红细胞形态检测、白细胞计数及其分类计数、血小板计数、血小板平均值测定和血小板形态检测等。 </w:t>
            </w:r>
          </w:p>
          <w:p w14:paraId="40D5BDD4">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一、红细胞检测（/L）和血红蛋白（g/L）的测定 </w:t>
            </w:r>
          </w:p>
          <w:p w14:paraId="2F029242">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正常参考值：成年男性为 4.0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5.5×1012/L，120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160 g/L。 </w:t>
            </w:r>
          </w:p>
          <w:p w14:paraId="5AB27510">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成年女性为 3.5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5.0×1012/L，110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150 g/L。 </w:t>
            </w:r>
          </w:p>
          <w:p w14:paraId="02608C86">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新生儿为 6.0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7.0×1012/L，170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200 g/L。 </w:t>
            </w:r>
          </w:p>
          <w:p w14:paraId="346877D6">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（一）红细胞及血红蛋白增多 </w:t>
            </w:r>
          </w:p>
          <w:p w14:paraId="270A36F7">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相对性增多</w:t>
            </w:r>
            <w:r>
              <w:rPr>
                <w:rFonts w:hint="default" w:ascii="Times New Roman" w:hAnsi="宋体"/>
                <w:bCs/>
                <w:sz w:val="24"/>
                <w:szCs w:val="24"/>
                <w:lang w:val="en-US" w:eastAsia="zh-CN"/>
              </w:rPr>
              <w:t xml:space="preserve"> 是因血浆容量减少，使红细胞容量相对增加。见于体液丢失，如严重呕吐、腹泻、大量出汗、大面积烧伤、慢性肾上腺皮质功能减退、尿崩症、甲状腺功能亢进危象、糖尿病酮症酸中毒。 </w:t>
            </w:r>
          </w:p>
          <w:p w14:paraId="3B2BF2BF">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绝对性增多</w:t>
            </w:r>
            <w:r>
              <w:rPr>
                <w:rFonts w:hint="default" w:ascii="Times New Roman" w:hAnsi="宋体"/>
                <w:bCs/>
                <w:sz w:val="24"/>
                <w:szCs w:val="24"/>
                <w:lang w:val="en-US" w:eastAsia="zh-CN"/>
              </w:rPr>
              <w:t xml:space="preserve"> 见于真性红细胞增多症，高原地区居民，严重的慢性心、肺疾患，如阻塞性肺气肿、肺源性心脏病、发绀型先天性心脏病，以及携氧能力低的异常血红蛋白病（如慢性一氧化碳中毒），某些肿瘤或肾脏疾患导致红细胞生成素增加等。 </w:t>
            </w:r>
          </w:p>
          <w:p w14:paraId="08E78A58">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（二）红细胞及血红蛋白减少 </w:t>
            </w:r>
          </w:p>
          <w:p w14:paraId="5EC4DBBD">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生理性减少</w:t>
            </w:r>
            <w:r>
              <w:rPr>
                <w:rFonts w:hint="default" w:ascii="Times New Roman" w:hAnsi="宋体"/>
                <w:bCs/>
                <w:sz w:val="24"/>
                <w:szCs w:val="24"/>
                <w:lang w:val="en-US" w:eastAsia="zh-CN"/>
              </w:rPr>
              <w:t xml:space="preserve"> 婴幼儿及 15 岁以前的儿童，红细胞及血红蛋白一般比正常成人低约 10% ～ 20%；部分老年人、妊娠中晚期的孕妇均可有红细胞数及血红蛋白减少。 </w:t>
            </w:r>
          </w:p>
          <w:p w14:paraId="5714A01B">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病理性减少</w:t>
            </w:r>
            <w:r>
              <w:rPr>
                <w:rFonts w:hint="default" w:ascii="Times New Roman" w:hAnsi="宋体"/>
                <w:bCs/>
                <w:sz w:val="24"/>
                <w:szCs w:val="24"/>
                <w:lang w:val="en-US" w:eastAsia="zh-CN"/>
              </w:rPr>
              <w:t xml:space="preserve"> 见于各种贫血。根据贫血产生的病因和发病机制不同，可将贫血分为红细胞生成减少、红细胞破坏增多、红细胞丢失过多。 </w:t>
            </w:r>
          </w:p>
          <w:p w14:paraId="496B1326">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二、白细胞计数（white blood cell count，WBC）及分类计数检测 </w:t>
            </w:r>
          </w:p>
          <w:p w14:paraId="4907E8DF">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（一）白细胞计数 </w:t>
            </w:r>
          </w:p>
          <w:p w14:paraId="5A2F486B">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正常参考值：成人为（4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10）×109 /L。 </w:t>
            </w:r>
          </w:p>
          <w:p w14:paraId="4DDDAF2F">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新生儿为（15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20）×109 /L。 </w:t>
            </w:r>
          </w:p>
          <w:p w14:paraId="66DE632A">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6 个月</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 岁为（11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12）×109 /L。 </w:t>
            </w:r>
          </w:p>
          <w:p w14:paraId="13B79A58">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白细胞总数高于正常值（成人为 10×109 /L）称白细胞增多，低于正常值（成人为4×109 /L）称白细胞减少。白细胞总数的增多或减少主要受中性粒细胞数量的影响，淋巴细胞等数量上的改变也会引起白细胞总数的变化。白细胞总数改变的临床意义详见白细胞分类计数中临床意义的有关内容。 </w:t>
            </w:r>
          </w:p>
          <w:p w14:paraId="40382599">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（二）白细胞的分类计数</w:t>
            </w:r>
            <w:r>
              <w:rPr>
                <w:rFonts w:hint="default" w:ascii="Times New Roman" w:hAnsi="宋体"/>
                <w:bCs/>
                <w:sz w:val="24"/>
                <w:szCs w:val="24"/>
                <w:lang w:val="en-US" w:eastAsia="zh-CN"/>
              </w:rPr>
              <w:t xml:space="preserve"> </w:t>
            </w:r>
          </w:p>
          <w:p w14:paraId="140BF977">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5 种白细胞的正常百分数和绝对值如表 3-1 所示。</w:t>
            </w:r>
          </w:p>
          <w:p w14:paraId="0620B7E3">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jc w:val="center"/>
              <w:textAlignment w:val="auto"/>
              <w:rPr>
                <w:rFonts w:hint="eastAsia" w:ascii="Times New Roman" w:hAnsi="宋体"/>
                <w:bCs/>
                <w:sz w:val="24"/>
                <w:szCs w:val="24"/>
                <w:lang w:val="en-US" w:eastAsia="zh-CN"/>
              </w:rPr>
            </w:pPr>
            <w:r>
              <w:rPr>
                <w:rFonts w:hint="eastAsia" w:ascii="Times New Roman" w:hAnsi="宋体"/>
                <w:bCs/>
                <w:sz w:val="24"/>
                <w:szCs w:val="24"/>
                <w:lang w:val="en-US" w:eastAsia="zh-CN"/>
              </w:rPr>
              <w:drawing>
                <wp:inline distT="0" distB="0" distL="114300" distR="114300">
                  <wp:extent cx="3548380" cy="1198880"/>
                  <wp:effectExtent l="0" t="0" r="13970" b="1270"/>
                  <wp:docPr id="1" name="图片 1" descr="171205939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2059391416"/>
                          <pic:cNvPicPr>
                            <a:picLocks noChangeAspect="1"/>
                          </pic:cNvPicPr>
                        </pic:nvPicPr>
                        <pic:blipFill>
                          <a:blip r:embed="rId6"/>
                          <a:stretch>
                            <a:fillRect/>
                          </a:stretch>
                        </pic:blipFill>
                        <pic:spPr>
                          <a:xfrm>
                            <a:off x="0" y="0"/>
                            <a:ext cx="3548380" cy="1198880"/>
                          </a:xfrm>
                          <a:prstGeom prst="rect">
                            <a:avLst/>
                          </a:prstGeom>
                        </pic:spPr>
                      </pic:pic>
                    </a:graphicData>
                  </a:graphic>
                </wp:inline>
              </w:drawing>
            </w:r>
          </w:p>
          <w:p w14:paraId="71F6E4B1">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中性粒细胞（neutrophil，N）</w:t>
            </w:r>
            <w:r>
              <w:rPr>
                <w:rFonts w:hint="default" w:ascii="Times New Roman" w:hAnsi="宋体"/>
                <w:bCs/>
                <w:sz w:val="24"/>
                <w:szCs w:val="24"/>
                <w:lang w:val="en-US" w:eastAsia="zh-CN"/>
              </w:rPr>
              <w:t xml:space="preserve"> 在外周血中可分为中性杆状核粒细胞（neutrophilicstab granulocyte，Nst）和中性分叶核粒细胞（neutrophilic segmented granulocyte，Nsg）两类。中性粒细胞增多常伴随白细胞总数的增多。见于急性细菌性感染，特别是化脓性球菌（如金黄色葡萄球菌、溶血性链球菌、肺炎链球菌等）感染为最常见的原因。严重的组织损伤、急性大出血及大量血细胞破坏，急性中毒，白血病、骨髓增殖性疾病及恶性肿瘤等白细胞及中性粒细胞均可增多。当中性粒细胞绝对值</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1.5×109 /L，称为粒细胞减少症，</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0.5×109 /L 时称为粒细胞缺乏症。中性粒细胞减少见于感染，特别是革兰阴 性杆菌感染，如伤寒、副伤寒杆菌感染；某些病毒感染性疾病，如流感、病毒性肝炎、水痘、风疹、巨细胞病毒感染时；物理、化学因素损伤，自身免疫性疾病等。 </w:t>
            </w:r>
          </w:p>
          <w:p w14:paraId="04AAC746">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嗜酸性粒细胞（eosinophil，E）</w:t>
            </w:r>
            <w:r>
              <w:rPr>
                <w:rFonts w:hint="default" w:ascii="Times New Roman" w:hAnsi="宋体"/>
                <w:bCs/>
                <w:sz w:val="24"/>
                <w:szCs w:val="24"/>
                <w:lang w:val="en-US" w:eastAsia="zh-CN"/>
              </w:rPr>
              <w:t xml:space="preserve"> 嗜酸性粒细胞增多见 </w:t>
            </w:r>
          </w:p>
          <w:p w14:paraId="1E4AC261">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于过敏性疾病、寄生虫病；减少见于大手术、烧伤等应激状态，或长期应用肾上腺皮质激素后，其临床意义甚小。 </w:t>
            </w:r>
          </w:p>
          <w:p w14:paraId="4769B3E3">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嗜碱性粒细胞（basophil，B）</w:t>
            </w:r>
            <w:r>
              <w:rPr>
                <w:rFonts w:hint="default" w:ascii="Times New Roman" w:hAnsi="宋体"/>
                <w:bCs/>
                <w:sz w:val="24"/>
                <w:szCs w:val="24"/>
                <w:lang w:val="en-US" w:eastAsia="zh-CN"/>
              </w:rPr>
              <w:t xml:space="preserve"> 嗜碱性粒细胞增多见于 </w:t>
            </w:r>
          </w:p>
          <w:p w14:paraId="7907C016">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过敏性疾病、血液系统疾病。减少无临床意义。 </w:t>
            </w:r>
          </w:p>
          <w:p w14:paraId="587A7F89">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淋巴细胞（lymphocyte，L）</w:t>
            </w:r>
            <w:r>
              <w:rPr>
                <w:rFonts w:hint="default" w:ascii="Times New Roman" w:hAnsi="宋体"/>
                <w:bCs/>
                <w:sz w:val="24"/>
                <w:szCs w:val="24"/>
                <w:lang w:val="en-US" w:eastAsia="zh-CN"/>
              </w:rPr>
              <w:t xml:space="preserve"> 可分为大淋巴细胞与小淋巴细胞，前者占 10%；后者占 90%。 </w:t>
            </w:r>
          </w:p>
          <w:p w14:paraId="7B378059">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淋巴细胞增多见于儿童期淋巴细胞较高，婴儿出生时淋 巴细胞约占 35%，粒细胞占 65%。4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6 天后淋巴细胞可达50%，与粒细胞比例大致相等。4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6 岁时，淋巴细胞比例逐渐减低，粒细胞比例增加，逐渐达正常成人水平。此为儿童期的淋巴细胞生理性增多。病理性淋巴细胞增多见于感染性疾病，主要为病毒感染，如麻疹、风疹、水痘病毒等感染，肿瘤性疾病。淋巴细胞减少见于应用肾上腺皮质激素、放射线损伤、化疗药物等。 </w:t>
            </w:r>
          </w:p>
          <w:p w14:paraId="7E7C62D4">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5. 单核细胞（monocyte，M）</w:t>
            </w:r>
            <w:r>
              <w:rPr>
                <w:rFonts w:hint="default" w:ascii="Times New Roman" w:hAnsi="宋体"/>
                <w:bCs/>
                <w:sz w:val="24"/>
                <w:szCs w:val="24"/>
                <w:lang w:val="en-US" w:eastAsia="zh-CN"/>
              </w:rPr>
              <w:t xml:space="preserve"> 单核细胞增多见于婴幼儿及儿童单核细胞可增多，属生理性增多。病理性增多见于某些感染，如感染性心内膜炎、疟疾、活动性肺结核等。</w:t>
            </w:r>
          </w:p>
          <w:p w14:paraId="2D65DD7D">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某些血液病等也可见单核细胞增多。单核细胞减少无临床意义。 </w:t>
            </w:r>
          </w:p>
          <w:p w14:paraId="56E8507C">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三、网织红细胞（reticulocyte，RET）的检测</w:t>
            </w:r>
            <w:r>
              <w:rPr>
                <w:rFonts w:hint="default" w:ascii="Times New Roman" w:hAnsi="宋体"/>
                <w:bCs/>
                <w:sz w:val="24"/>
                <w:szCs w:val="24"/>
                <w:lang w:val="en-US" w:eastAsia="zh-CN"/>
              </w:rPr>
              <w:t xml:space="preserve"> </w:t>
            </w:r>
          </w:p>
          <w:p w14:paraId="7D2CE379">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正常参考值：百分数0.005</w:t>
            </w:r>
            <w:r>
              <w:rPr>
                <w:rFonts w:hint="eastAsia" w:ascii="Times New Roman" w:hAnsi="宋体"/>
                <w:bCs/>
                <w:sz w:val="24"/>
                <w:szCs w:val="24"/>
                <w:lang w:val="en-US" w:eastAsia="zh-CN"/>
              </w:rPr>
              <w:t>～</w:t>
            </w:r>
            <w:r>
              <w:rPr>
                <w:rFonts w:hint="default" w:ascii="Times New Roman" w:hAnsi="宋体"/>
                <w:bCs/>
                <w:sz w:val="24"/>
                <w:szCs w:val="24"/>
                <w:lang w:val="en-US" w:eastAsia="zh-CN"/>
              </w:rPr>
              <w:t>0.015；绝对数（24</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84）×109 /L。 </w:t>
            </w:r>
          </w:p>
          <w:p w14:paraId="56834743">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网织红细胞增多，表示骨髓红细胞系增生旺盛，见于溶血 性贫血、急性失血；缺铁性贫血、巨幼细胞贫血及某些贫血病 </w:t>
            </w:r>
          </w:p>
          <w:p w14:paraId="5B7B6B93">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人治疗后；网织红细胞减少，表示骨髓造血功能减低，常见于再生障碍性贫血等。 </w:t>
            </w:r>
          </w:p>
          <w:p w14:paraId="5C47F570">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四、血小板计数（platelet count，PLT）的检测 </w:t>
            </w:r>
          </w:p>
          <w:p w14:paraId="12086FCB">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正常参考值：（100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300）×109 /L。 </w:t>
            </w:r>
          </w:p>
          <w:p w14:paraId="75C37F84">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（一）血小板增多</w:t>
            </w:r>
            <w:r>
              <w:rPr>
                <w:rFonts w:hint="default" w:ascii="Times New Roman" w:hAnsi="宋体"/>
                <w:bCs/>
                <w:sz w:val="24"/>
                <w:szCs w:val="24"/>
                <w:lang w:val="en-US" w:eastAsia="zh-CN"/>
              </w:rPr>
              <w:t xml:space="preserve"> </w:t>
            </w:r>
          </w:p>
          <w:p w14:paraId="043DB821">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血小板数＞ 400×109 /L 为血小板增多。见于骨髓增殖性疾病、急性感染、急性溶血、某些癌症、脾切除术后患者。 </w:t>
            </w:r>
          </w:p>
          <w:p w14:paraId="6DEE3F89">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（二）血小板减少 </w:t>
            </w:r>
          </w:p>
          <w:p w14:paraId="357E3BDF">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血小板</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100×109 /L 称为血小板减少。见于再生障碍性贫血、放射性损伤、急性白血病、原发性血小板减少性紫癜、系统性红斑狼疮、弥漫性血管内凝血、脾肿大等。</w:t>
            </w:r>
          </w:p>
          <w:p w14:paraId="0D18CE59">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五、红细胞沉降率（erythrocyte sedimentation rate，ESR）测定 </w:t>
            </w:r>
          </w:p>
          <w:p w14:paraId="5D666637">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红细胞沉降率是指红细胞在一定条件下沉降的速率，简称血沉。它受多种因素影响：a 血浆中各种蛋白的比例改变，如血浆中纤维蛋白原或球蛋白增加或清蛋白减少。 </w:t>
            </w:r>
          </w:p>
          <w:p w14:paraId="3EE41ED8">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b 红细胞数量和形状：红细胞减少时血沉加快，球形红细胞增多血沉减慢。 </w:t>
            </w:r>
          </w:p>
          <w:p w14:paraId="66387402">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正常参考值：男性为 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15mm/h；女性为 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20mm/h。 </w:t>
            </w:r>
          </w:p>
          <w:p w14:paraId="3ADF706E">
            <w:pPr>
              <w:keepNext w:val="0"/>
              <w:keepLines w:val="0"/>
              <w:pageBreakBefore w:val="0"/>
              <w:widowControl/>
              <w:suppressLineNumbers w:val="0"/>
              <w:kinsoku/>
              <w:wordWrap/>
              <w:overflowPunct/>
              <w:topLinePunct w:val="0"/>
              <w:autoSpaceDN/>
              <w:bidi w:val="0"/>
              <w:adjustRightInd w:val="0"/>
              <w:snapToGrid w:val="0"/>
              <w:spacing w:before="0" w:beforeAutospacing="0" w:after="0" w:afterAutospacing="0" w:line="440" w:lineRule="atLeast"/>
              <w:ind w:left="0" w:right="0" w:firstLine="480" w:firstLineChars="200"/>
              <w:jc w:val="left"/>
              <w:textAlignment w:val="auto"/>
              <w:rPr>
                <w:rFonts w:hint="eastAsia" w:ascii="宋体" w:hAnsi="宋体" w:eastAsia="宋体" w:cs="宋体"/>
                <w:b/>
                <w:bCs/>
                <w:color w:val="538135"/>
                <w:kern w:val="2"/>
                <w:sz w:val="24"/>
                <w:szCs w:val="24"/>
                <w:lang w:val="en-US" w:eastAsia="zh-CN" w:bidi="ar"/>
              </w:rPr>
            </w:pPr>
            <w:r>
              <w:rPr>
                <w:rFonts w:hint="default" w:ascii="Times New Roman" w:hAnsi="宋体"/>
                <w:bCs/>
                <w:sz w:val="24"/>
                <w:szCs w:val="24"/>
                <w:lang w:val="en-US" w:eastAsia="zh-CN"/>
              </w:rPr>
              <w:t xml:space="preserve">血沉增快见于 12 岁以下的儿童、60 岁以上的高龄者、妇女月经期、妊娠 3 个月以上血沉可加快，其增快可能与生理性贫血或纤维蛋白原含量增加有关。各种炎症性疾病，如急性细菌性炎症时，炎症发生后 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3 天即可见血沉增快。风湿热、结核病时，因纤维蛋白原及免疫球蛋白增加等。血沉减慢一般临床意义较小。</w:t>
            </w:r>
          </w:p>
          <w:p w14:paraId="50BEE774">
            <w:pPr>
              <w:keepNext w:val="0"/>
              <w:keepLines w:val="0"/>
              <w:pageBreakBefore w:val="0"/>
              <w:widowControl w:val="0"/>
              <w:suppressLineNumbers w:val="0"/>
              <w:kinsoku/>
              <w:wordWrap/>
              <w:overflowPunct/>
              <w:topLinePunct w:val="0"/>
              <w:autoSpaceDE w:val="0"/>
              <w:autoSpaceDN/>
              <w:bidi w:val="0"/>
              <w:adjustRightInd w:val="0"/>
              <w:snapToGrid w:val="0"/>
              <w:spacing w:before="0" w:beforeAutospacing="0" w:after="0" w:afterAutospacing="0" w:line="440" w:lineRule="atLeast"/>
              <w:ind w:left="0" w:right="0"/>
              <w:jc w:val="left"/>
              <w:textAlignment w:val="auto"/>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366" w:type="dxa"/>
            <w:tcBorders>
              <w:tl2br w:val="nil"/>
              <w:tr2bl w:val="nil"/>
            </w:tcBorders>
            <w:vAlign w:val="center"/>
          </w:tcPr>
          <w:p w14:paraId="06A5E3D8">
            <w:pPr>
              <w:keepNext w:val="0"/>
              <w:keepLines w:val="0"/>
              <w:suppressLineNumbers w:val="0"/>
              <w:spacing w:before="0" w:beforeAutospacing="0" w:after="0" w:afterAutospacing="0" w:line="360" w:lineRule="auto"/>
              <w:ind w:left="0" w:right="0"/>
              <w:jc w:val="left"/>
              <w:rPr>
                <w:rFonts w:hint="eastAsia" w:ascii="Times New Roman" w:hAnsi="Times New Roman"/>
                <w:b/>
                <w:szCs w:val="24"/>
                <w:lang w:eastAsia="zh-CN"/>
              </w:rPr>
            </w:pPr>
          </w:p>
          <w:p w14:paraId="59A62010">
            <w:pPr>
              <w:keepNext w:val="0"/>
              <w:keepLines w:val="0"/>
              <w:suppressLineNumbers w:val="0"/>
              <w:spacing w:before="0" w:beforeAutospacing="0" w:after="0" w:afterAutospacing="0" w:line="360" w:lineRule="auto"/>
              <w:ind w:left="0" w:right="0"/>
              <w:jc w:val="left"/>
              <w:rPr>
                <w:rFonts w:hint="eastAsia" w:ascii="Times New Roman" w:hAnsi="Times New Roman"/>
                <w:b/>
                <w:szCs w:val="24"/>
                <w:lang w:eastAsia="zh-CN"/>
              </w:rPr>
            </w:pPr>
          </w:p>
          <w:p w14:paraId="10E837E9">
            <w:pPr>
              <w:keepNext w:val="0"/>
              <w:keepLines w:val="0"/>
              <w:suppressLineNumbers w:val="0"/>
              <w:spacing w:before="0" w:beforeAutospacing="0" w:after="0" w:afterAutospacing="0" w:line="360" w:lineRule="auto"/>
              <w:ind w:left="0" w:right="0"/>
              <w:jc w:val="left"/>
              <w:rPr>
                <w:rFonts w:hint="eastAsia" w:ascii="Times New Roman" w:hAnsi="Times New Roman"/>
                <w:b/>
                <w:szCs w:val="24"/>
                <w:lang w:eastAsia="zh-CN"/>
              </w:rPr>
            </w:pPr>
          </w:p>
          <w:p w14:paraId="7EBA52A8">
            <w:pPr>
              <w:keepNext w:val="0"/>
              <w:keepLines w:val="0"/>
              <w:suppressLineNumbers w:val="0"/>
              <w:spacing w:before="0" w:beforeAutospacing="0" w:after="0" w:afterAutospacing="0" w:line="360" w:lineRule="auto"/>
              <w:ind w:left="0" w:right="0"/>
              <w:jc w:val="left"/>
              <w:rPr>
                <w:rFonts w:hint="eastAsia" w:ascii="Times New Roman" w:hAnsi="Times New Roman"/>
                <w:b/>
                <w:szCs w:val="24"/>
                <w:lang w:eastAsia="zh-CN"/>
              </w:rPr>
            </w:pPr>
          </w:p>
          <w:p w14:paraId="4EDFDD10">
            <w:pPr>
              <w:keepNext w:val="0"/>
              <w:keepLines w:val="0"/>
              <w:suppressLineNumbers w:val="0"/>
              <w:spacing w:before="0" w:beforeAutospacing="0" w:after="0" w:afterAutospacing="0" w:line="360" w:lineRule="auto"/>
              <w:ind w:left="0" w:right="0"/>
              <w:jc w:val="left"/>
              <w:rPr>
                <w:rFonts w:hint="eastAsia" w:ascii="Times New Roman" w:hAnsi="Times New Roman"/>
                <w:b/>
                <w:szCs w:val="24"/>
                <w:lang w:eastAsia="zh-CN"/>
              </w:rPr>
            </w:pPr>
          </w:p>
          <w:p w14:paraId="2B478046">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lang w:eastAsia="zh-CN"/>
              </w:rPr>
              <w:t>展示文章</w:t>
            </w:r>
            <w:r>
              <w:rPr>
                <w:rFonts w:hint="eastAsia" w:ascii="Times New Roman" w:hAnsi="Times New Roman"/>
                <w:b/>
                <w:sz w:val="24"/>
                <w:szCs w:val="24"/>
              </w:rPr>
              <w:t>，</w:t>
            </w:r>
            <w:r>
              <w:rPr>
                <w:rFonts w:hint="eastAsia" w:ascii="Times New Roman" w:hAnsi="Times New Roman"/>
                <w:b/>
                <w:sz w:val="24"/>
                <w:szCs w:val="24"/>
                <w:lang w:eastAsia="zh-CN"/>
              </w:rPr>
              <w:t>让学生更加仔细的阅读，从而</w:t>
            </w:r>
            <w:r>
              <w:rPr>
                <w:rFonts w:hint="eastAsia" w:ascii="Times New Roman" w:hAnsi="Times New Roman"/>
                <w:b/>
                <w:sz w:val="24"/>
                <w:szCs w:val="24"/>
              </w:rPr>
              <w:t>激发学生的学习欲望。</w:t>
            </w:r>
          </w:p>
        </w:tc>
      </w:tr>
      <w:tr w14:paraId="392EECB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6F8BB64B">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5807" w:type="dxa"/>
            <w:tcBorders>
              <w:tl2br w:val="nil"/>
              <w:tr2bl w:val="nil"/>
            </w:tcBorders>
            <w:vAlign w:val="center"/>
          </w:tcPr>
          <w:p w14:paraId="1F1AEF04">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7E27EDF">
            <w:pPr>
              <w:keepNext w:val="0"/>
              <w:keepLines w:val="0"/>
              <w:suppressLineNumbers w:val="0"/>
              <w:spacing w:before="0" w:beforeAutospacing="0" w:after="0" w:afterAutospacing="0" w:line="360" w:lineRule="auto"/>
              <w:ind w:left="0" w:right="0" w:firstLine="482" w:firstLineChars="200"/>
              <w:rPr>
                <w:rFonts w:hint="eastAsia" w:hAnsi="宋体" w:eastAsia="宋体"/>
                <w:bCs/>
                <w:sz w:val="24"/>
                <w:szCs w:val="24"/>
                <w:lang w:eastAsia="zh-CN"/>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红细胞沉降率</w:t>
            </w:r>
            <w:r>
              <w:rPr>
                <w:rFonts w:hint="eastAsia" w:ascii="Times New Roman" w:hAnsi="宋体"/>
                <w:b/>
                <w:bCs w:val="0"/>
                <w:sz w:val="24"/>
                <w:szCs w:val="24"/>
                <w:lang w:val="en-US" w:eastAsia="zh-CN"/>
              </w:rPr>
              <w:t>。</w:t>
            </w:r>
          </w:p>
        </w:tc>
        <w:tc>
          <w:tcPr>
            <w:tcW w:w="1366" w:type="dxa"/>
            <w:tcBorders>
              <w:tl2br w:val="nil"/>
              <w:tr2bl w:val="nil"/>
            </w:tcBorders>
            <w:vAlign w:val="center"/>
          </w:tcPr>
          <w:p w14:paraId="74A43886">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14:paraId="28AD4BE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6661651D">
            <w:pPr>
              <w:keepNext w:val="0"/>
              <w:keepLines w:val="0"/>
              <w:suppressLineNumbers w:val="0"/>
              <w:spacing w:before="0" w:beforeAutospacing="0" w:after="0" w:afterAutospacing="0" w:line="360" w:lineRule="auto"/>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9977915">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5807" w:type="dxa"/>
            <w:tcBorders>
              <w:tl2br w:val="nil"/>
              <w:tr2bl w:val="nil"/>
            </w:tcBorders>
            <w:vAlign w:val="center"/>
          </w:tcPr>
          <w:p w14:paraId="377416E9">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jc w:val="left"/>
              <w:textAlignment w:val="auto"/>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展示尿液与粪便检查</w:t>
            </w:r>
          </w:p>
          <w:p w14:paraId="2D5FFC0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一、尿液检查</w:t>
            </w:r>
            <w:r>
              <w:rPr>
                <w:rFonts w:hint="default" w:ascii="Times New Roman" w:hAnsi="宋体"/>
                <w:bCs/>
                <w:sz w:val="24"/>
                <w:szCs w:val="24"/>
                <w:lang w:val="en-US" w:eastAsia="zh-CN"/>
              </w:rPr>
              <w:t xml:space="preserve"> </w:t>
            </w:r>
          </w:p>
          <w:p w14:paraId="0BAA2421">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尿液是血液经过肾小球滤过、肾小管和集合管重吸收和排泌所产生的终末代谢产物，尿液标本的收集需要注意：成年女性留尿时，应避开月经期，防止阴道分泌物混入；用清洁干燥容器留取标本，避免污染；未防腐的标本应在半小时之内送检。</w:t>
            </w:r>
          </w:p>
          <w:p w14:paraId="4C40C01B">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（一）一般性状检查 </w:t>
            </w:r>
          </w:p>
          <w:p w14:paraId="642305FC">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尿量 </w:t>
            </w:r>
            <w:r>
              <w:rPr>
                <w:rFonts w:hint="default" w:ascii="Times New Roman" w:hAnsi="宋体"/>
                <w:bCs/>
                <w:sz w:val="24"/>
                <w:szCs w:val="24"/>
                <w:lang w:val="en-US" w:eastAsia="zh-CN"/>
              </w:rPr>
              <w:t xml:space="preserve">正常参考值：1000 ～ 2000mL/24h（成人）或 1mL/（h·kg）。 </w:t>
            </w:r>
          </w:p>
          <w:p w14:paraId="0E0C904A">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（1）尿量增多：24 小时尿量超过 2500mL，称为多尿。可见于水摄入过多、应用利尿剂和某些药物，内分泌系统疾病，如糖尿病，尿崩症、急性肾衰竭多尿期等。 </w:t>
            </w:r>
          </w:p>
          <w:p w14:paraId="74028768">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尿量减少：成人尿量低于400mL/24h或17mL/h，称为少尿，而低于100mL/24h，则称为无尿。肾前性少尿：休克，心力衰竭，脱水，以及其他引起有效循环血容量减少病症可导致肾小球滤过不足而出现少尿。肾性少尿：各种肾脏实质性改变而导致的少尿。肾后性少尿：因结石，尿路狭窄，肿瘤压迫，引起尿路梗阻或排尿功能障碍所致。 </w:t>
            </w:r>
          </w:p>
          <w:p w14:paraId="13071100">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尿液外观 </w:t>
            </w:r>
            <w:r>
              <w:rPr>
                <w:rFonts w:hint="default" w:ascii="Times New Roman" w:hAnsi="宋体"/>
                <w:bCs/>
                <w:sz w:val="24"/>
                <w:szCs w:val="24"/>
                <w:lang w:val="en-US" w:eastAsia="zh-CN"/>
              </w:rPr>
              <w:t xml:space="preserve">正常参考值：正常新鲜尿液清澈透明。尿液颜色受食物、尿色素、药物等影响，一般呈淡黄色至深黄色。 </w:t>
            </w:r>
          </w:p>
          <w:p w14:paraId="5305B25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（1）血尿：尿液内含有一定量的红细胞，称为血尿，可呈淡红色云雾状、洗肉水样或混有血凝块。每升尿液中含血量超过 1mL，即可出现淡红色，称肉眼血尿。尿液外观变化不明显，离心沉淀后，镜检时每高倍镜视野红细胞平均＞ 3 个，称为镜下血尿。</w:t>
            </w:r>
          </w:p>
          <w:p w14:paraId="00C4532D">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血尿多见于泌尿系统炎症、结石、肿瘤、结核、外伤等。 </w:t>
            </w:r>
          </w:p>
          <w:p w14:paraId="7D4DC0B9">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（2）血红蛋白尿及肌红蛋白尿：当血红蛋白和肌红蛋白出现于尿中，可使尿液呈浓茶色、红葡萄酒色或酱油色。 </w:t>
            </w:r>
          </w:p>
          <w:p w14:paraId="654C4BC8">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（3）胆红素尿：尿内含有大量的结合胆红素，尿液呈深黄色豆油样改变，振荡后出现黄色泡沫且不易消失，常见于阻塞性黄疸和肝细胞性黄疸。 </w:t>
            </w:r>
          </w:p>
          <w:p w14:paraId="5A4DB437">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（4）脓尿和菌尿：当尿内含有大量的脓细胞、炎性渗出物或细菌时，新鲜尿液呈白色混浊或云雾状。 </w:t>
            </w:r>
          </w:p>
          <w:p w14:paraId="361D70B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（5）乳糜尿和脂肪尿：尿中混有淋巴液而呈稀牛奶状称为乳糜尿。尿中出现脂肪小滴则称为脂肪尿。乳糜尿可见于丝虫病。脂肪尿见于脂肪挤压损伤、骨折和肾病综合征等。 </w:t>
            </w:r>
          </w:p>
          <w:p w14:paraId="40CFF248">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酸碱性</w:t>
            </w:r>
            <w:r>
              <w:rPr>
                <w:rFonts w:hint="default" w:ascii="Times New Roman" w:hAnsi="宋体"/>
                <w:bCs/>
                <w:sz w:val="24"/>
                <w:szCs w:val="24"/>
                <w:lang w:val="en-US" w:eastAsia="zh-CN"/>
              </w:rPr>
              <w:t xml:space="preserve"> 正常参考值：pH 约 6.5，在 4.5 ～ 8.0 波动。 </w:t>
            </w:r>
          </w:p>
          <w:p w14:paraId="58CB2BF4">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（1）尿 pH 降低：见于酸中毒、高热、维生素 C 等酸性药物。 </w:t>
            </w:r>
          </w:p>
          <w:p w14:paraId="0D02339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（2）尿 pH 增高：见于碱中毒、尿潴留、膀胱炎、应用利尿剂、肾小管性酸中毒等。 </w:t>
            </w:r>
          </w:p>
          <w:p w14:paraId="2D812004">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尿比重</w:t>
            </w:r>
            <w:r>
              <w:rPr>
                <w:rFonts w:hint="default" w:ascii="Times New Roman" w:hAnsi="宋体"/>
                <w:bCs/>
                <w:sz w:val="24"/>
                <w:szCs w:val="24"/>
                <w:lang w:val="en-US" w:eastAsia="zh-CN"/>
              </w:rPr>
              <w:t xml:space="preserve"> 正常参考值：1.015～1.025，晨尿最高，一般＞1.020，婴幼儿尿比重偏低。 </w:t>
            </w:r>
          </w:p>
          <w:p w14:paraId="6932DA0C">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（1）尿比重增高：血容量不足导致的肾前性少尿、糖尿病、急性肾小球肾炎、肾病综合征等。 </w:t>
            </w:r>
          </w:p>
          <w:p w14:paraId="4133BBC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（2）尿比重降低：大量饮水、慢性肾小球肾炎、慢性肾衰竭、肾小管间质疾病、尿崩症等。 </w:t>
            </w:r>
          </w:p>
          <w:p w14:paraId="0CE346F9">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（二）化学检查 </w:t>
            </w:r>
          </w:p>
          <w:p w14:paraId="410C1CD2">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尿蛋白</w:t>
            </w:r>
            <w:r>
              <w:rPr>
                <w:rFonts w:hint="default" w:ascii="Times New Roman" w:hAnsi="宋体"/>
                <w:bCs/>
                <w:sz w:val="24"/>
                <w:szCs w:val="24"/>
                <w:lang w:val="en-US" w:eastAsia="zh-CN"/>
              </w:rPr>
              <w:t xml:space="preserve"> 正常参考值：尿蛋白定性试验阴性；定量为 0 ～ 80mg/24h。 </w:t>
            </w:r>
          </w:p>
          <w:p w14:paraId="6B65AAB0">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尿蛋白定性试验阳性或定量试验超过 150mg/24h 时，称为蛋白尿。生理性蛋白尿指泌尿系统无器质性病变，尿内暂时出现蛋白质，程度较轻，持续时间短，诱因解除后消失。</w:t>
            </w:r>
          </w:p>
          <w:p w14:paraId="1AA950D5">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如机体在剧烈运动、体位改变、发热、寒冷、精神紧张等。因各种肾脏及肾外疾病所致的蛋白尿，多为持续性蛋白尿。如糖尿病、高血压、药物、中毒等肾病。 </w:t>
            </w:r>
          </w:p>
          <w:p w14:paraId="7338536D">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尿糖 </w:t>
            </w:r>
            <w:r>
              <w:rPr>
                <w:rFonts w:hint="default" w:ascii="Times New Roman" w:hAnsi="宋体"/>
                <w:bCs/>
                <w:sz w:val="24"/>
                <w:szCs w:val="24"/>
                <w:lang w:val="en-US" w:eastAsia="zh-CN"/>
              </w:rPr>
              <w:t xml:space="preserve">正常参考值：尿糖定性试验阴性，定量为 0.56 ～ 5.0mmol/L。 </w:t>
            </w:r>
          </w:p>
          <w:p w14:paraId="2100BAF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尿糖增高常见于糖尿病、其他使血糖升高的内分泌疾病，如库欣综合征、甲状腺功能亢进、嗜铬细胞瘤、肢端肥大症等。 </w:t>
            </w:r>
          </w:p>
          <w:p w14:paraId="527C180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酮体</w:t>
            </w:r>
            <w:r>
              <w:rPr>
                <w:rFonts w:hint="default" w:ascii="Times New Roman" w:hAnsi="宋体"/>
                <w:bCs/>
                <w:sz w:val="24"/>
                <w:szCs w:val="24"/>
                <w:lang w:val="en-US" w:eastAsia="zh-CN"/>
              </w:rPr>
              <w:t xml:space="preserve"> 正常参考值：阴性。 </w:t>
            </w:r>
          </w:p>
          <w:p w14:paraId="400DF697">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尿酮体阳性见于糖尿病性酮尿，高热、严重呕吐、腹泻、长期饥饿、禁食、过分节食、妊娠剧吐、酒精性肝炎、肝硬化等。</w:t>
            </w:r>
          </w:p>
          <w:p w14:paraId="3E34D93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4. 尿胆原</w:t>
            </w:r>
            <w:r>
              <w:rPr>
                <w:rFonts w:hint="default" w:ascii="Times New Roman" w:hAnsi="宋体"/>
                <w:bCs/>
                <w:sz w:val="24"/>
                <w:szCs w:val="24"/>
                <w:lang w:val="en-US" w:eastAsia="zh-CN"/>
              </w:rPr>
              <w:t xml:space="preserve"> 正常参考值：尿胆原定性为阴性或弱阳性，定量≤ 10mg/L。 </w:t>
            </w:r>
          </w:p>
          <w:p w14:paraId="72C2304A">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尿胆原增高见于肝细胞性黄疸、溶血性黄疸、心力衰竭、肠梗阻便秘。尿胆原减少见于阻塞性黄疸，长期应用抗生素。 </w:t>
            </w:r>
          </w:p>
          <w:p w14:paraId="57219D3B">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（三）尿沉渣检测</w:t>
            </w:r>
            <w:r>
              <w:rPr>
                <w:rFonts w:hint="default" w:ascii="Times New Roman" w:hAnsi="宋体"/>
                <w:bCs/>
                <w:sz w:val="24"/>
                <w:szCs w:val="24"/>
                <w:lang w:val="en-US" w:eastAsia="zh-CN"/>
              </w:rPr>
              <w:t xml:space="preserve"> </w:t>
            </w:r>
          </w:p>
          <w:p w14:paraId="2A6F102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尿沉渣检测是对尿液离心沉淀物中有形成分的鉴定。 </w:t>
            </w:r>
          </w:p>
          <w:p w14:paraId="1E8231FE">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尿内红细胞</w:t>
            </w:r>
            <w:r>
              <w:rPr>
                <w:rFonts w:hint="default" w:ascii="Times New Roman" w:hAnsi="宋体"/>
                <w:bCs/>
                <w:sz w:val="24"/>
                <w:szCs w:val="24"/>
                <w:lang w:val="en-US" w:eastAsia="zh-CN"/>
              </w:rPr>
              <w:t xml:space="preserve"> 正常参考值：玻片法平均 0 ～ 3 个 /HP。 </w:t>
            </w:r>
          </w:p>
          <w:p w14:paraId="4E576F8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尿沉渣镜检红细胞＞ 3 个 /HP，称为镜下血尿。多形性红细胞＞ 80% 时，称肾小球源性血尿，常见于急性肾小球肾炎等。多形性红细胞</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50% 时，称非肾小球源性血尿，见于肾结石、泌尿系统肿瘤、肾结核等。 </w:t>
            </w:r>
          </w:p>
          <w:p w14:paraId="66219C44">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尿内白细胞和脓细胞</w:t>
            </w:r>
            <w:r>
              <w:rPr>
                <w:rFonts w:hint="default" w:ascii="Times New Roman" w:hAnsi="宋体"/>
                <w:bCs/>
                <w:sz w:val="24"/>
                <w:szCs w:val="24"/>
                <w:lang w:val="en-US" w:eastAsia="zh-CN"/>
              </w:rPr>
              <w:t xml:space="preserve"> 正常参考值：玻片法平均 0 ～ 5 个 /HP。 </w:t>
            </w:r>
          </w:p>
          <w:p w14:paraId="046E5738">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若有大量白细胞，多为泌尿系统感染，如肾盂肾炎、肾结核、膀胱炎或尿道炎。 </w:t>
            </w:r>
          </w:p>
          <w:p w14:paraId="05DA609C">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管型</w:t>
            </w:r>
            <w:r>
              <w:rPr>
                <w:rFonts w:hint="default" w:ascii="Times New Roman" w:hAnsi="宋体"/>
                <w:bCs/>
                <w:sz w:val="24"/>
                <w:szCs w:val="24"/>
                <w:lang w:val="en-US" w:eastAsia="zh-CN"/>
              </w:rPr>
              <w:t xml:space="preserve"> 管型是蛋白质、细胞或碎片在肾小管、集合管中凝固而成的圆柱形蛋白聚体。常见管型的特征及临床意义如下： </w:t>
            </w:r>
          </w:p>
          <w:p w14:paraId="5F96E597">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（1）透明管型：正常人 0 </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偶见 /LP，老年人清晨浓缩尿中也可见到。在肾病综合征、慢性肾炎、恶性高血压和心力衰竭时可见增多。 </w:t>
            </w:r>
          </w:p>
          <w:p w14:paraId="677EC9A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（2）颗粒管型：见于慢性肾炎、肾盂肾炎、某些（药物 </w:t>
            </w:r>
          </w:p>
          <w:p w14:paraId="00E3A16D">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中毒等）原因引起的肾小管损伤、急性肾小球肾炎后期。 </w:t>
            </w:r>
          </w:p>
          <w:p w14:paraId="2109E5B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细胞管型：按其所含细胞命名为：肾小管上皮细胞管型，在各种原因所致的肾小管损伤时出现；红细胞管型：常与肾小球性血尿同时存在，临床意义与血尿相似；白细胞管型：常见于肾盂肾炎、间质性肾炎等。 </w:t>
            </w:r>
          </w:p>
          <w:p w14:paraId="627CCD1B">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（4）蜡样管型：该类管型多提示有严重的肾小管变性坏死，预后不良。 </w:t>
            </w:r>
          </w:p>
          <w:p w14:paraId="34DF9DE5">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二、粪便检查 </w:t>
            </w:r>
          </w:p>
          <w:p w14:paraId="1AEBA268">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（一）一般性状检查 </w:t>
            </w:r>
          </w:p>
          <w:p w14:paraId="02CBE3CD">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粪便标本首先要肉眼观察，通常根据粪便性状即能作初步诊断。 </w:t>
            </w:r>
          </w:p>
          <w:p w14:paraId="27FC2A98">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颜色与性状 正常成人的粪便排出时为黄褐色圆柱形软便，婴儿粪便呈黄色或金黄色糊状便。病理情况可见如下改变： </w:t>
            </w:r>
          </w:p>
          <w:p w14:paraId="3A6D87FC">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（1）鲜血便：见于直肠息肉、直肠癌、肛裂及痔疮等。 </w:t>
            </w:r>
          </w:p>
          <w:p w14:paraId="0DD35E80">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（2）柏油样便：见于消化道出血。服用活性炭、铋剂等之后也可排出黑便。 </w:t>
            </w:r>
          </w:p>
          <w:p w14:paraId="415B3F3F">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（3）白陶土样便：见于各种原因引起的胆管阻塞患者。 </w:t>
            </w:r>
          </w:p>
          <w:p w14:paraId="3A60A75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（4）脓性及脓血便：当肠道下段有病变，如痢疾、溃疡性结肠炎、阿米巴痢疾等。 </w:t>
            </w:r>
          </w:p>
          <w:p w14:paraId="14BB8865">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（5）米泔样便：粪便呈白色淘米水样，稀水样，见于重症霍乱、副霍乱患者。 </w:t>
            </w:r>
          </w:p>
          <w:p w14:paraId="522CB746">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（6）黏液便：见于各类肠炎、细菌性痢疾，阿米巴痢疾等。</w:t>
            </w:r>
          </w:p>
          <w:p w14:paraId="12A6E26B">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（7）稀糊状或水样便：见于各种感染性和非感染性腹泻。小儿肠炎时粪便呈绿色稀糊状。出血坏死性肠炎排出红豆汤样便。 </w:t>
            </w:r>
          </w:p>
          <w:p w14:paraId="1398C839">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（8）细条样便：提示直肠狭窄，多见于直肠癌。 </w:t>
            </w:r>
          </w:p>
          <w:p w14:paraId="05C0BB84">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（9）乳凝块、蛋花样变：常见于婴儿消化不良、婴儿腹泻。 </w:t>
            </w:r>
          </w:p>
          <w:p w14:paraId="45ECEE63">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（10）羊粪样便：见于痉挛性便秘。 </w:t>
            </w:r>
          </w:p>
          <w:p w14:paraId="2ACBE7E0">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（二）化学检查</w:t>
            </w:r>
            <w:r>
              <w:rPr>
                <w:rFonts w:hint="default" w:ascii="Times New Roman" w:hAnsi="宋体"/>
                <w:bCs/>
                <w:sz w:val="24"/>
                <w:szCs w:val="24"/>
                <w:lang w:val="en-US" w:eastAsia="zh-CN"/>
              </w:rPr>
              <w:t xml:space="preserve"> </w:t>
            </w:r>
          </w:p>
          <w:p w14:paraId="07631EBB">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粪便隐血试验的正常参考值：阴性。 </w:t>
            </w:r>
          </w:p>
          <w:p w14:paraId="33B42752">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440" w:lineRule="atLeast"/>
              <w:ind w:left="0" w:right="0" w:firstLine="480" w:firstLineChars="200"/>
              <w:jc w:val="left"/>
              <w:textAlignment w:val="auto"/>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Cs/>
                <w:sz w:val="24"/>
                <w:szCs w:val="24"/>
                <w:lang w:val="en-US" w:eastAsia="zh-CN"/>
              </w:rPr>
              <w:t>消化道出血 5mL 以上粪便隐血试验即为阳性。隐血试验对消化道出血鉴别诊断有一定意义，消化性溃疡，呈间歇阳性；消化道恶性肿瘤，呈持续性阳性。</w:t>
            </w:r>
          </w:p>
          <w:p w14:paraId="73C2E3D0">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440" w:lineRule="atLeast"/>
              <w:ind w:left="0" w:right="0"/>
              <w:jc w:val="both"/>
              <w:textAlignment w:val="auto"/>
              <w:rPr>
                <w:rFonts w:hint="default" w:ascii="Times New Roman" w:hAnsi="Times New Roman"/>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366" w:type="dxa"/>
            <w:tcBorders>
              <w:tl2br w:val="nil"/>
              <w:tr2bl w:val="nil"/>
            </w:tcBorders>
            <w:vAlign w:val="center"/>
          </w:tcPr>
          <w:p w14:paraId="7864B123">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6D842179">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5A1C79FD">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7F58C311">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328C4457">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0A283D83">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460E9599">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5096C23D">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11142D10">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p>
          <w:p w14:paraId="339805BC">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尿液与粪便检查</w:t>
            </w:r>
            <w:r>
              <w:rPr>
                <w:rFonts w:hint="eastAsia" w:ascii="Times New Roman" w:hAnsi="Times New Roman"/>
                <w:b/>
                <w:sz w:val="24"/>
                <w:szCs w:val="24"/>
              </w:rPr>
              <w:t>的基本理论知识。</w:t>
            </w:r>
          </w:p>
        </w:tc>
      </w:tr>
      <w:tr w14:paraId="7DC5B49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7074CA37">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61A1C22">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eastAsia" w:ascii="Times New Roman" w:hAnsi="Times New Roman" w:cs="Times New Roman"/>
                <w:kern w:val="2"/>
                <w:sz w:val="24"/>
                <w:szCs w:val="24"/>
                <w:lang w:val="en-US" w:eastAsia="zh-CN" w:bidi="ar"/>
              </w:rPr>
              <w:t>3</w:t>
            </w:r>
            <w:r>
              <w:rPr>
                <w:rFonts w:hint="default" w:ascii="Times New Roman" w:hAnsi="Times New Roman" w:eastAsia="宋体" w:cs="Times New Roman"/>
                <w:kern w:val="2"/>
                <w:sz w:val="24"/>
                <w:szCs w:val="24"/>
                <w:lang w:val="en-US" w:eastAsia="zh-CN" w:bidi="ar"/>
              </w:rPr>
              <w:t>min</w:t>
            </w:r>
            <w:r>
              <w:rPr>
                <w:rFonts w:hint="eastAsia" w:ascii="宋体" w:hAnsi="宋体" w:eastAsia="宋体" w:cs="宋体"/>
                <w:kern w:val="2"/>
                <w:sz w:val="24"/>
                <w:szCs w:val="24"/>
                <w:lang w:val="en-US" w:eastAsia="zh-CN" w:bidi="ar"/>
              </w:rPr>
              <w:t>）</w:t>
            </w:r>
          </w:p>
        </w:tc>
        <w:tc>
          <w:tcPr>
            <w:tcW w:w="5807" w:type="dxa"/>
            <w:tcBorders>
              <w:tl2br w:val="nil"/>
              <w:tr2bl w:val="nil"/>
            </w:tcBorders>
            <w:vAlign w:val="center"/>
          </w:tcPr>
          <w:p w14:paraId="1E1F029F">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EBF2CBE">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宋体" w:hAnsi="宋体" w:eastAsia="宋体" w:cs="宋体"/>
                <w:b/>
                <w:bCs w:val="0"/>
                <w:kern w:val="2"/>
                <w:sz w:val="24"/>
                <w:szCs w:val="24"/>
                <w:lang w:val="en-US" w:eastAsia="zh-CN" w:bidi="ar"/>
              </w:rPr>
            </w:pPr>
            <w:r>
              <w:rPr>
                <w:rFonts w:hint="eastAsia" w:ascii="宋体" w:hAnsi="宋体" w:eastAsia="宋体" w:cs="宋体"/>
                <w:b/>
                <w:bCs w:val="0"/>
                <w:kern w:val="2"/>
                <w:sz w:val="24"/>
                <w:szCs w:val="24"/>
                <w:lang w:val="en-US" w:eastAsia="zh-CN" w:bidi="ar"/>
              </w:rPr>
              <w:t>这节课我们一起学习了尿液与粪便检查，知道</w:t>
            </w:r>
            <w:r>
              <w:rPr>
                <w:rFonts w:hint="default" w:ascii="宋体" w:hAnsi="宋体" w:eastAsia="宋体" w:cs="宋体"/>
                <w:b/>
                <w:bCs w:val="0"/>
                <w:kern w:val="2"/>
                <w:sz w:val="24"/>
                <w:szCs w:val="24"/>
                <w:lang w:val="en-US" w:eastAsia="zh-CN" w:bidi="ar"/>
              </w:rPr>
              <w:t>消化道出血 5mL 以上粪便隐血试验即为阳性。隐血试验对消化道出血鉴别诊断有一定意义，消化性溃疡，呈间歇阳性；消化道恶性肿瘤，呈持续性阳性。</w:t>
            </w:r>
          </w:p>
        </w:tc>
        <w:tc>
          <w:tcPr>
            <w:tcW w:w="1366" w:type="dxa"/>
            <w:tcBorders>
              <w:tl2br w:val="nil"/>
              <w:tr2bl w:val="nil"/>
            </w:tcBorders>
            <w:vAlign w:val="center"/>
          </w:tcPr>
          <w:p w14:paraId="1B253B2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0C22C7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75C41231">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4"/>
                <w:szCs w:val="24"/>
                <w:lang w:val="en-US" w:eastAsia="zh-CN" w:bidi="ar"/>
              </w:rPr>
              <w:t>（</w:t>
            </w:r>
            <w:r>
              <w:rPr>
                <w:rFonts w:hint="eastAsia" w:ascii="Times New Roman" w:hAnsi="Times New Roman" w:cs="Times New Roman"/>
                <w:b w:val="0"/>
                <w:bCs w:val="0"/>
                <w:kern w:val="2"/>
                <w:sz w:val="24"/>
                <w:szCs w:val="24"/>
                <w:lang w:val="en-US" w:eastAsia="zh-CN" w:bidi="ar"/>
              </w:rPr>
              <w:t>2</w:t>
            </w:r>
            <w:r>
              <w:rPr>
                <w:rFonts w:hint="default" w:ascii="Times New Roman" w:hAnsi="Times New Roman" w:eastAsia="宋体" w:cs="Times New Roman"/>
                <w:b w:val="0"/>
                <w:bCs w:val="0"/>
                <w:kern w:val="2"/>
                <w:sz w:val="24"/>
                <w:szCs w:val="24"/>
                <w:lang w:val="en-US" w:eastAsia="zh-CN" w:bidi="ar"/>
              </w:rPr>
              <w:t>min</w:t>
            </w:r>
            <w:r>
              <w:rPr>
                <w:rFonts w:hint="eastAsia" w:ascii="宋体" w:hAnsi="宋体" w:eastAsia="宋体" w:cs="宋体"/>
                <w:b w:val="0"/>
                <w:bCs w:val="0"/>
                <w:kern w:val="2"/>
                <w:sz w:val="24"/>
                <w:szCs w:val="24"/>
                <w:lang w:val="en-US" w:eastAsia="zh-CN" w:bidi="ar"/>
              </w:rPr>
              <w:t>）</w:t>
            </w:r>
          </w:p>
        </w:tc>
        <w:tc>
          <w:tcPr>
            <w:tcW w:w="5807" w:type="dxa"/>
            <w:tcBorders>
              <w:tl2br w:val="nil"/>
              <w:tr2bl w:val="nil"/>
            </w:tcBorders>
            <w:vAlign w:val="center"/>
          </w:tcPr>
          <w:p w14:paraId="54149AF7">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14:paraId="480A5C07">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Calibri" w:hAnsi="宋体" w:eastAsia="宋体" w:cs="Times New Roman"/>
                <w:bCs/>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粪便检查</w:t>
            </w:r>
            <w:r>
              <w:rPr>
                <w:rFonts w:hint="eastAsia" w:ascii="Times New Roman" w:hAnsi="宋体"/>
                <w:b/>
                <w:bCs w:val="0"/>
                <w:sz w:val="24"/>
                <w:szCs w:val="24"/>
                <w:lang w:val="en-US" w:eastAsia="zh-CN"/>
              </w:rPr>
              <w:t>。</w:t>
            </w:r>
          </w:p>
        </w:tc>
        <w:tc>
          <w:tcPr>
            <w:tcW w:w="1366" w:type="dxa"/>
            <w:tcBorders>
              <w:tl2br w:val="nil"/>
              <w:tr2bl w:val="nil"/>
            </w:tcBorders>
            <w:vAlign w:val="center"/>
          </w:tcPr>
          <w:p w14:paraId="1E3B54E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val="0"/>
                <w:bCs/>
                <w:kern w:val="2"/>
                <w:sz w:val="24"/>
                <w:szCs w:val="24"/>
                <w:lang w:val="en-US" w:eastAsia="zh-CN" w:bidi="ar"/>
              </w:rPr>
              <w:t>通过课后练习，使学生巩固所学新知识</w:t>
            </w:r>
          </w:p>
        </w:tc>
      </w:tr>
      <w:tr w14:paraId="34535BA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3906783F">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w:t>
            </w:r>
            <w:r>
              <w:rPr>
                <w:rFonts w:hint="eastAsia" w:ascii="Times New Roman" w:hAnsi="Times New Roman"/>
                <w:sz w:val="24"/>
                <w:szCs w:val="24"/>
                <w:lang w:val="en-US" w:eastAsia="zh-CN"/>
              </w:rPr>
              <w:t>0</w:t>
            </w:r>
            <w:r>
              <w:rPr>
                <w:rFonts w:hint="eastAsia" w:ascii="Times New Roman" w:hAnsi="Times New Roman"/>
                <w:sz w:val="24"/>
                <w:szCs w:val="24"/>
              </w:rPr>
              <w:t>min</w:t>
            </w:r>
            <w:r>
              <w:rPr>
                <w:rFonts w:hint="default" w:ascii="Times New Roman" w:hAnsi="Times New Roman"/>
                <w:sz w:val="24"/>
                <w:szCs w:val="24"/>
              </w:rPr>
              <w:t>）</w:t>
            </w:r>
          </w:p>
        </w:tc>
        <w:tc>
          <w:tcPr>
            <w:tcW w:w="5807" w:type="dxa"/>
            <w:tcBorders>
              <w:tl2br w:val="nil"/>
              <w:tr2bl w:val="nil"/>
            </w:tcBorders>
            <w:vAlign w:val="center"/>
          </w:tcPr>
          <w:p w14:paraId="70C50B8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jc w:val="left"/>
              <w:textAlignment w:val="auto"/>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展示肝功能检查</w:t>
            </w:r>
          </w:p>
          <w:p w14:paraId="54207746">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一、蛋白质代谢功能检测 </w:t>
            </w:r>
          </w:p>
          <w:p w14:paraId="01D9FF0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目前肝脏合成蛋白功能评价主要依据：血清总蛋白（TP）和清蛋白（A）、球蛋白（G）比值测定。 </w:t>
            </w:r>
          </w:p>
          <w:p w14:paraId="6C6C1F95">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正常参考值：正常成人血清总蛋白为 60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80 g/L，清蛋白为 40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55 g/L，球蛋白为 20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30 g/L，A/G 为 1.5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2.5 : 1。 </w:t>
            </w:r>
          </w:p>
          <w:p w14:paraId="654FE430">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血清总蛋白降低一般与清蛋白减少相平行，总蛋白升高同时有球蛋白升高。由于肝脏具有很强的代偿能力，且清蛋白半衰期较长，因此只有当肝脏病变达到一定程度和在一定病程后才能出现血清总蛋白的改变。 </w:t>
            </w:r>
          </w:p>
          <w:p w14:paraId="255847F6">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（一）血清总蛋白及清蛋白降低 </w:t>
            </w:r>
          </w:p>
          <w:p w14:paraId="75A1C97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见于肝细胞损害影响总蛋白与清蛋白合成，如常见肝脏疾病慢性中度以上持续性肝炎、肝硬化、肝癌、营养不良、肾病综合征、慢性消耗性疾病等。 </w:t>
            </w:r>
          </w:p>
          <w:p w14:paraId="372A7E5B">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（二）血清总蛋白及球蛋白增高 </w:t>
            </w:r>
          </w:p>
          <w:p w14:paraId="197E04C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当血清总蛋白＞ 80g/L 或球蛋白＞ 35g/L，分别称为高蛋白血症或高球蛋白血症。 </w:t>
            </w:r>
          </w:p>
          <w:p w14:paraId="27D1E16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总蛋白增高主要是因球蛋白增高，其中又以 γ 球蛋白增高为主。常见于慢性肝脏疾病、自身免疫性疾病等。 </w:t>
            </w:r>
          </w:p>
          <w:p w14:paraId="78C4BEE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（三）血清球蛋白浓度降低</w:t>
            </w:r>
            <w:r>
              <w:rPr>
                <w:rFonts w:hint="default" w:ascii="Times New Roman" w:hAnsi="宋体"/>
                <w:bCs/>
                <w:sz w:val="24"/>
                <w:szCs w:val="24"/>
                <w:lang w:val="en-US" w:eastAsia="zh-CN"/>
              </w:rPr>
              <w:t xml:space="preserve"> </w:t>
            </w:r>
          </w:p>
          <w:p w14:paraId="029844D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见于免疫功能抑制等。 </w:t>
            </w:r>
          </w:p>
          <w:p w14:paraId="6694834C">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（四）A/G 倒置 </w:t>
            </w:r>
          </w:p>
          <w:p w14:paraId="407DEA2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见于严重肝功能损伤及 M 蛋白血症，如慢性中度以上持续性肝炎、肝硬化、原发性肝癌、多发性骨髓瘤等。 </w:t>
            </w:r>
          </w:p>
          <w:p w14:paraId="11D3AE58">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二、胆红素代谢检测 </w:t>
            </w:r>
          </w:p>
          <w:p w14:paraId="642ADD09">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临床上通过检测血清总胆红素、结合胆红素、非结合胆红素、尿内胆红素及尿胆原，借以诊断有无溶血及判断肝、胆系统在胆色素代谢中的功能状态。</w:t>
            </w:r>
          </w:p>
          <w:p w14:paraId="057B1CCC">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正常参考值：血清总胆红素（STB）新生儿：0</w:t>
            </w:r>
            <w:r>
              <w:rPr>
                <w:rFonts w:hint="eastAsia" w:ascii="Times New Roman" w:hAnsi="宋体"/>
                <w:bCs/>
                <w:sz w:val="24"/>
                <w:szCs w:val="24"/>
                <w:lang w:val="en-US" w:eastAsia="zh-CN"/>
              </w:rPr>
              <w:t>～</w:t>
            </w:r>
            <w:r>
              <w:rPr>
                <w:rFonts w:hint="default" w:ascii="Times New Roman" w:hAnsi="宋体"/>
                <w:bCs/>
                <w:sz w:val="24"/>
                <w:szCs w:val="24"/>
                <w:lang w:val="en-US" w:eastAsia="zh-CN"/>
              </w:rPr>
              <w:t>1d为34</w:t>
            </w:r>
            <w:r>
              <w:rPr>
                <w:rFonts w:hint="eastAsia" w:ascii="Times New Roman" w:hAnsi="宋体"/>
                <w:bCs/>
                <w:sz w:val="24"/>
                <w:szCs w:val="24"/>
                <w:lang w:val="en-US" w:eastAsia="zh-CN"/>
              </w:rPr>
              <w:t>～</w:t>
            </w:r>
            <w:r>
              <w:rPr>
                <w:rFonts w:hint="default" w:ascii="Times New Roman" w:hAnsi="宋体"/>
                <w:bCs/>
                <w:sz w:val="24"/>
                <w:szCs w:val="24"/>
                <w:lang w:val="en-US" w:eastAsia="zh-CN"/>
              </w:rPr>
              <w:t>103μmol/L；1</w:t>
            </w:r>
            <w:r>
              <w:rPr>
                <w:rFonts w:hint="eastAsia" w:ascii="Times New Roman" w:hAnsi="宋体"/>
                <w:bCs/>
                <w:sz w:val="24"/>
                <w:szCs w:val="24"/>
                <w:lang w:val="en-US" w:eastAsia="zh-CN"/>
              </w:rPr>
              <w:t>～</w:t>
            </w:r>
            <w:r>
              <w:rPr>
                <w:rFonts w:hint="default" w:ascii="Times New Roman" w:hAnsi="宋体"/>
                <w:bCs/>
                <w:sz w:val="24"/>
                <w:szCs w:val="24"/>
                <w:lang w:val="en-US" w:eastAsia="zh-CN"/>
              </w:rPr>
              <w:t>2d为103</w:t>
            </w:r>
            <w:r>
              <w:rPr>
                <w:rFonts w:hint="eastAsia" w:ascii="Times New Roman" w:hAnsi="宋体"/>
                <w:bCs/>
                <w:sz w:val="24"/>
                <w:szCs w:val="24"/>
                <w:lang w:val="en-US" w:eastAsia="zh-CN"/>
              </w:rPr>
              <w:t>～</w:t>
            </w:r>
            <w:r>
              <w:rPr>
                <w:rFonts w:hint="default" w:ascii="Times New Roman" w:hAnsi="宋体"/>
                <w:bCs/>
                <w:sz w:val="24"/>
                <w:szCs w:val="24"/>
                <w:lang w:val="en-US" w:eastAsia="zh-CN"/>
              </w:rPr>
              <w:t>171μmol/L；3</w:t>
            </w:r>
            <w:r>
              <w:rPr>
                <w:rFonts w:hint="eastAsia" w:ascii="Times New Roman" w:hAnsi="宋体"/>
                <w:bCs/>
                <w:sz w:val="24"/>
                <w:szCs w:val="24"/>
                <w:lang w:val="en-US" w:eastAsia="zh-CN"/>
              </w:rPr>
              <w:t>～</w:t>
            </w:r>
            <w:r>
              <w:rPr>
                <w:rFonts w:hint="default" w:ascii="Times New Roman" w:hAnsi="宋体"/>
                <w:bCs/>
                <w:sz w:val="24"/>
                <w:szCs w:val="24"/>
                <w:lang w:val="en-US" w:eastAsia="zh-CN"/>
              </w:rPr>
              <w:t>5d为68</w:t>
            </w:r>
            <w:r>
              <w:rPr>
                <w:rFonts w:hint="eastAsia" w:ascii="Times New Roman" w:hAnsi="宋体"/>
                <w:bCs/>
                <w:sz w:val="24"/>
                <w:szCs w:val="24"/>
                <w:lang w:val="en-US" w:eastAsia="zh-CN"/>
              </w:rPr>
              <w:t>～</w:t>
            </w:r>
            <w:r>
              <w:rPr>
                <w:rFonts w:hint="default" w:ascii="Times New Roman" w:hAnsi="宋体"/>
                <w:bCs/>
                <w:sz w:val="24"/>
                <w:szCs w:val="24"/>
                <w:lang w:val="en-US" w:eastAsia="zh-CN"/>
              </w:rPr>
              <w:t>137μmol/L；成人：3.4</w:t>
            </w:r>
            <w:r>
              <w:rPr>
                <w:rFonts w:hint="eastAsia" w:ascii="Times New Roman" w:hAnsi="宋体"/>
                <w:bCs/>
                <w:sz w:val="24"/>
                <w:szCs w:val="24"/>
                <w:lang w:val="en-US" w:eastAsia="zh-CN"/>
              </w:rPr>
              <w:t>～</w:t>
            </w:r>
            <w:r>
              <w:rPr>
                <w:rFonts w:hint="default" w:ascii="Times New Roman" w:hAnsi="宋体"/>
                <w:bCs/>
                <w:sz w:val="24"/>
                <w:szCs w:val="24"/>
                <w:lang w:val="en-US" w:eastAsia="zh-CN"/>
              </w:rPr>
              <w:t>17.1μmol/L。结合胆红素（CB）：0</w:t>
            </w:r>
            <w:r>
              <w:rPr>
                <w:rFonts w:hint="eastAsia" w:ascii="Times New Roman" w:hAnsi="宋体"/>
                <w:bCs/>
                <w:sz w:val="24"/>
                <w:szCs w:val="24"/>
                <w:lang w:val="en-US" w:eastAsia="zh-CN"/>
              </w:rPr>
              <w:t>～</w:t>
            </w:r>
            <w:r>
              <w:rPr>
                <w:rFonts w:hint="default" w:ascii="Times New Roman" w:hAnsi="宋体"/>
                <w:bCs/>
                <w:sz w:val="24"/>
                <w:szCs w:val="24"/>
                <w:lang w:val="en-US" w:eastAsia="zh-CN"/>
              </w:rPr>
              <w:t>6.8μmol/L。非结合胆红素（UCB）：1.7</w:t>
            </w:r>
            <w:r>
              <w:rPr>
                <w:rFonts w:hint="eastAsia" w:ascii="Times New Roman" w:hAnsi="宋体"/>
                <w:bCs/>
                <w:sz w:val="24"/>
                <w:szCs w:val="24"/>
                <w:lang w:val="en-US" w:eastAsia="zh-CN"/>
              </w:rPr>
              <w:t>～</w:t>
            </w:r>
            <w:r>
              <w:rPr>
                <w:rFonts w:hint="default" w:ascii="Times New Roman" w:hAnsi="宋体"/>
                <w:bCs/>
                <w:sz w:val="24"/>
                <w:szCs w:val="24"/>
                <w:lang w:val="en-US" w:eastAsia="zh-CN"/>
              </w:rPr>
              <w:t>10.2μmol/L。</w:t>
            </w:r>
          </w:p>
          <w:p w14:paraId="6E28E3D9">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当血清总胆红素＞17.1μmol/L，但</w:t>
            </w:r>
            <w:r>
              <w:rPr>
                <w:rFonts w:hint="eastAsia" w:ascii="Times New Roman" w:hAnsi="宋体"/>
                <w:bCs/>
                <w:sz w:val="24"/>
                <w:szCs w:val="24"/>
                <w:lang w:val="en-US" w:eastAsia="zh-CN"/>
              </w:rPr>
              <w:t>＜</w:t>
            </w:r>
            <w:r>
              <w:rPr>
                <w:rFonts w:hint="default" w:ascii="Times New Roman" w:hAnsi="宋体"/>
                <w:bCs/>
                <w:sz w:val="24"/>
                <w:szCs w:val="24"/>
                <w:lang w:val="en-US" w:eastAsia="zh-CN"/>
              </w:rPr>
              <w:t xml:space="preserve">34.2μmol/L时为隐性黄疸或亚临床黄疸。根据总胆红素，结合及非结合胆红素升高程度判断黄疸病因：若血清总胆红素增高伴非结合胆红素明显增高提示为溶血性黄疸，总胆红素增高伴结合胆红素明显升高为胆汁淤积性黄疸，三者均增高为肝细胞性黄疸。 </w:t>
            </w:r>
          </w:p>
          <w:p w14:paraId="466D0C62">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三、血清酶检测 </w:t>
            </w:r>
          </w:p>
          <w:p w14:paraId="1363FBF2">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肝脏是人体含酶最丰富的器官，酶蛋白含量约占肝总蛋白含量的 2/3 。肝细胞中所含酶种类已知有数百种，在全身物质代谢及生物转化中都起重要作用。 </w:t>
            </w:r>
          </w:p>
          <w:p w14:paraId="0731F7CC">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（一）血清氨基转移酶 </w:t>
            </w:r>
          </w:p>
          <w:p w14:paraId="2AB7DC6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用于肝功能检查主要是丙氨酸氨基转移酶（ALT，旧称谷氨酸丙酮酸转移酶，GPT）和天门冬氨酸氨基转移酶（AST，旧称谷氨酸草酰乙酸转移酶，GOT）。ALT主要分布在肝脏，其次是骨骼肌、肾脏、心肌等组织中；AST 主要分布在心肌，其次在肝脏、骨骼肌和肾脏组织中。 </w:t>
            </w:r>
          </w:p>
          <w:p w14:paraId="000A2E9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正常参考值：速率法 （37℃）ALT 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40U/L；AST 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40U/L。 </w:t>
            </w:r>
          </w:p>
          <w:p w14:paraId="1432F7CB">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（1）病毒性肝炎：ALT 与 AST 均显著升高，但 ALT 升高更明显。急性重症肝炎时，病程初期转氨酶升高，以 AST 升高显著，如在症状恶化时，黄疸进行性加深，酶活性反而降低，即出现“胆酶分离”现象，提示肝细胞严重坏死，预后不佳。 </w:t>
            </w:r>
          </w:p>
          <w:p w14:paraId="7F341752">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（2）酒精性肝病、药物性肝炎、脂肪肝、肝癌等非病毒性肝病，转氨酶轻度升高或正常。酒精性肝病 AST 显著升高，ALT 接近正常，可能因为酒精具有线粒体毒性及酒精抑制吡哆醛活性有关。 </w:t>
            </w:r>
          </w:p>
          <w:p w14:paraId="5B99EBF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（3）急性心肌梗死后 6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8 小时 AST 增高，18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24 小时达高峰，其值可达参考值上限的 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 倍，与心肌坏死范围和程度有关，4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 天后恢复，若再次增高提示梗死范围扩大或新的梗死发生。 </w:t>
            </w:r>
          </w:p>
          <w:p w14:paraId="73D184A6">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（二）碱性磷酸酶 </w:t>
            </w:r>
          </w:p>
          <w:p w14:paraId="52A81E25">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主要分布在肝脏、骨骼、肾中，因此常作为肝脏疾病的检查指标之一。胆道疾病时可能由于 ALP 生成增加而排泄减少，而引起血清中 ALP 升高。 </w:t>
            </w:r>
          </w:p>
          <w:p w14:paraId="4B3B3DFB">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正常参考值：连续监测法（37℃）成人 40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110 U/L； 儿童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250 U/L。 </w:t>
            </w:r>
          </w:p>
          <w:p w14:paraId="22854AC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升高见于各种肝内、外胆管阻塞性疾病、骨骼疾病。 </w:t>
            </w:r>
          </w:p>
          <w:p w14:paraId="2BADDEF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（三）γ- 谷氨酰转移酶</w:t>
            </w:r>
            <w:r>
              <w:rPr>
                <w:rFonts w:hint="default" w:ascii="Times New Roman" w:hAnsi="宋体"/>
                <w:bCs/>
                <w:sz w:val="24"/>
                <w:szCs w:val="24"/>
                <w:lang w:val="en-US" w:eastAsia="zh-CN"/>
              </w:rPr>
              <w:t xml:space="preserve"> </w:t>
            </w:r>
          </w:p>
          <w:p w14:paraId="7388C460">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血清中 γ 谷氨酰转移酶（GGT）主要来自肝胆系统，当肝内合成亢进或胆汁排出受阻时，血清中 GGT 增高。 </w:t>
            </w:r>
          </w:p>
          <w:p w14:paraId="273DD72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正常参考值：连续检测法（37℃） 成人</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50 U/L。 </w:t>
            </w:r>
          </w:p>
          <w:p w14:paraId="1B85D8D0">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胆道阻塞性疾病，如原发性胆汁性肝硬化、硬化性胆管炎、肝癌，均可使 GGT 明显升高。脂肪肝、胰腺炎、胰腺肿瘤、前列腺肿瘤等 GGT 亦可轻度增高。 </w:t>
            </w:r>
          </w:p>
          <w:p w14:paraId="012D2AAA">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四、脂类代谢功能检测 </w:t>
            </w:r>
          </w:p>
          <w:p w14:paraId="4A807A28">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（一）总胆固醇测定（TC） </w:t>
            </w:r>
          </w:p>
          <w:p w14:paraId="6D9D34EB">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正常参考值：成人为 2.84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5.17 mmol/L；儿童为 3.10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5.20 mmol/L。 </w:t>
            </w:r>
          </w:p>
          <w:p w14:paraId="46913CB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临床意义：血清 TC 水平受年龄、家族、性别、遗传、饮食、精神等多种因素影响，常作为动脉粥样硬化的一种危险因素。 </w:t>
            </w:r>
          </w:p>
          <w:p w14:paraId="0382295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（二）甘油三酯（TG）测定 </w:t>
            </w:r>
          </w:p>
          <w:p w14:paraId="0922401C">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正常参考值：0.56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1.70 mmol/L。</w:t>
            </w:r>
          </w:p>
          <w:p w14:paraId="0E180A1F">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临床意义：血清 TG 受生活习惯、饮食和年龄等的影响，在个体内及个体间的波动较大。进食高脂、高糖和高热饮食后，外源性 TG 可明显增高，由于乳糜微粒的分子较大，使血浆浑浊呈乳糜样，称为饮食性脂血。因此，必须在空腹 12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16 小时后静脉采集测定标本，以减少饮食的影响。 </w:t>
            </w:r>
          </w:p>
          <w:p w14:paraId="538DC76A">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TG 增高</w:t>
            </w:r>
            <w:r>
              <w:rPr>
                <w:rFonts w:hint="default" w:ascii="Times New Roman" w:hAnsi="宋体"/>
                <w:bCs/>
                <w:sz w:val="24"/>
                <w:szCs w:val="24"/>
                <w:lang w:val="en-US" w:eastAsia="zh-CN"/>
              </w:rPr>
              <w:t xml:space="preserve"> 可见于冠心病、原发性高脂血症、动脉粥样硬化症、肥胖症、糖尿病、痛风、甲状旁腺功能减退症、肾病综合征、高脂饮食和阻塞性黄疸等。 </w:t>
            </w:r>
          </w:p>
          <w:p w14:paraId="28E1CCC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2. TG 减低 </w:t>
            </w:r>
            <w:r>
              <w:rPr>
                <w:rFonts w:hint="default" w:ascii="Times New Roman" w:hAnsi="宋体"/>
                <w:bCs/>
                <w:sz w:val="24"/>
                <w:szCs w:val="24"/>
                <w:lang w:val="en-US" w:eastAsia="zh-CN"/>
              </w:rPr>
              <w:t xml:space="preserve">可见于严重的肝脏疾病、吸收不良、甲状腺功能亢进症、肾上腺皮质功能减退症等。 </w:t>
            </w:r>
          </w:p>
          <w:p w14:paraId="3DF019D2">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（三）血清脂蛋白与载脂蛋白检测 </w:t>
            </w:r>
          </w:p>
          <w:p w14:paraId="77F58E09">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 xml:space="preserve">1. 高密度脂蛋（HDL）增高 </w:t>
            </w:r>
            <w:r>
              <w:rPr>
                <w:rFonts w:hint="default" w:ascii="Times New Roman" w:hAnsi="宋体"/>
                <w:bCs/>
                <w:sz w:val="24"/>
                <w:szCs w:val="24"/>
                <w:lang w:val="en-US" w:eastAsia="zh-CN"/>
              </w:rPr>
              <w:t xml:space="preserve">有利于外周组织清除胆固醇，从而防止动脉粥样硬化的发生，故 HDL 被认为是抗动脉粥样硬化因子。 </w:t>
            </w:r>
          </w:p>
          <w:p w14:paraId="0DC39D82">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正常参考值：男性 为 1.14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1.76 mmol/L；女性为 1.22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1.91 mmol/L。HDL 增高对防止动脉粥样硬化、预防冠心病的发生有重要作用。HDL 减低常见于动脉粥样硬化等。 </w:t>
            </w:r>
          </w:p>
          <w:p w14:paraId="2A961F86">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 低密度脂蛋白（LDL）</w:t>
            </w:r>
            <w:r>
              <w:rPr>
                <w:rFonts w:hint="default" w:ascii="Times New Roman" w:hAnsi="宋体"/>
                <w:bCs/>
                <w:sz w:val="24"/>
                <w:szCs w:val="24"/>
                <w:lang w:val="en-US" w:eastAsia="zh-CN"/>
              </w:rPr>
              <w:t xml:space="preserve"> 富含胆固醇的脂蛋白，导致大量胆固醇沉积并停留在血管壁内，促使动脉壁形成动脉粥样硬化斑块，故 LDL 为致动脉粥样硬化的因子。 </w:t>
            </w:r>
          </w:p>
          <w:p w14:paraId="7F01AF5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正常参考值：2.1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3.1 mmol/L。 </w:t>
            </w:r>
          </w:p>
          <w:p w14:paraId="51539D1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LDL 增高：LDL 是动脉粥样硬化的危险因子，LDL 水平增高与冠心病发病呈正相关。LDL 减低：常见于甲状腺功能亢进症、低脂饮食和运动等。 </w:t>
            </w:r>
          </w:p>
          <w:p w14:paraId="03A5C11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440" w:lineRule="atLeast"/>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3. 血清载脂蛋白</w:t>
            </w:r>
            <w:r>
              <w:rPr>
                <w:rFonts w:hint="default" w:ascii="Times New Roman" w:hAnsi="宋体"/>
                <w:bCs/>
                <w:sz w:val="24"/>
                <w:szCs w:val="24"/>
                <w:lang w:val="en-US" w:eastAsia="zh-CN"/>
              </w:rPr>
              <w:t xml:space="preserve"> 脂蛋白中的蛋白部分称为载脂蛋白（apo），载脂蛋白 A（apoA1）是 HDL 的主要结构蛋白，apoA 具有清除组织脂质和抗动脉粥样硬化的作用。载脂蛋白B（apoB100）是 LDL 中含量最多的蛋白质。 </w:t>
            </w:r>
          </w:p>
          <w:p w14:paraId="3A2CE3E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440" w:lineRule="atLeast"/>
              <w:ind w:left="0" w:right="0"/>
              <w:jc w:val="both"/>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正常参考值：apoA1 ：男性为 0.96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1.76 mmol/L；女性为 1.03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2.03 mmol/L。apoB100 ：男性为 0.43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1.28 mmol/L；女性为 0.42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1.12 mmol/L。临床意义：apoA1 与 HDL 一样可以预测和评价冠心病的危险性，但 apoA1 较 HDL更精确，更能反映脂蛋白状态。apoA1 减低见于家族性 apoA1 缺乏症、急性心肌梗死、糖尿病、慢性肝病、肾病综合征和脑血管病等。apoB100 增高可直接反映 LDL 水平，因 此，其增高与动脉粥样硬化、冠心病的发生率呈正相关，可用于评价冠心病的危险性和降脂治疗效果等。</w:t>
            </w:r>
          </w:p>
          <w:p w14:paraId="76ECB8B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440" w:lineRule="atLeast"/>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366" w:type="dxa"/>
            <w:tcBorders>
              <w:tl2br w:val="nil"/>
              <w:tr2bl w:val="nil"/>
            </w:tcBorders>
            <w:vAlign w:val="center"/>
          </w:tcPr>
          <w:p w14:paraId="7A5483DD">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肝功能检查</w:t>
            </w:r>
            <w:r>
              <w:rPr>
                <w:rFonts w:hint="eastAsia" w:ascii="Times New Roman" w:hAnsi="Times New Roman"/>
                <w:b/>
                <w:sz w:val="24"/>
                <w:szCs w:val="24"/>
              </w:rPr>
              <w:t>的基本理论知识。</w:t>
            </w:r>
          </w:p>
        </w:tc>
      </w:tr>
      <w:tr w14:paraId="27333799">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3FEB6669">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7C8729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5807" w:type="dxa"/>
            <w:tcBorders>
              <w:tl2br w:val="nil"/>
              <w:tr2bl w:val="nil"/>
            </w:tcBorders>
            <w:vAlign w:val="center"/>
          </w:tcPr>
          <w:p w14:paraId="2CD3971C">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0A0E7B35">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这节课我们一起学习了肝功能检查，知道</w:t>
            </w:r>
            <w:r>
              <w:rPr>
                <w:rFonts w:hint="default" w:ascii="宋体" w:hAnsi="宋体" w:eastAsia="宋体" w:cs="宋体"/>
                <w:b/>
                <w:bCs w:val="0"/>
                <w:kern w:val="2"/>
                <w:sz w:val="24"/>
                <w:szCs w:val="24"/>
                <w:lang w:val="en-US" w:eastAsia="zh-CN" w:bidi="ar"/>
              </w:rPr>
              <w:t>apoB100 增高可直接反映 LDL 水平，因 此，其增高与动脉粥样硬化、冠心病的发生率呈正相关，可用于评价冠心病的危险性和降脂治疗效果等。</w:t>
            </w:r>
          </w:p>
        </w:tc>
        <w:tc>
          <w:tcPr>
            <w:tcW w:w="1366" w:type="dxa"/>
            <w:tcBorders>
              <w:tl2br w:val="nil"/>
              <w:tr2bl w:val="nil"/>
            </w:tcBorders>
            <w:vAlign w:val="center"/>
          </w:tcPr>
          <w:p w14:paraId="762250C1">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B8D6E3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10AD11FD">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5807" w:type="dxa"/>
            <w:tcBorders>
              <w:tl2br w:val="nil"/>
              <w:tr2bl w:val="nil"/>
            </w:tcBorders>
            <w:vAlign w:val="center"/>
          </w:tcPr>
          <w:p w14:paraId="05085F61">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14:paraId="45FC56C2">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血清载脂蛋白</w:t>
            </w:r>
            <w:r>
              <w:rPr>
                <w:rFonts w:hint="eastAsia" w:ascii="Times New Roman" w:hAnsi="宋体"/>
                <w:b/>
                <w:bCs w:val="0"/>
                <w:sz w:val="24"/>
                <w:szCs w:val="24"/>
                <w:lang w:val="en-US" w:eastAsia="zh-CN"/>
              </w:rPr>
              <w:t>。</w:t>
            </w:r>
          </w:p>
        </w:tc>
        <w:tc>
          <w:tcPr>
            <w:tcW w:w="1366" w:type="dxa"/>
            <w:tcBorders>
              <w:tl2br w:val="nil"/>
              <w:tr2bl w:val="nil"/>
            </w:tcBorders>
            <w:vAlign w:val="center"/>
          </w:tcPr>
          <w:p w14:paraId="453FFEE4">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457963B0">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53504BDE">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 w:val="24"/>
                <w:szCs w:val="24"/>
              </w:rPr>
              <w:t>（4</w:t>
            </w:r>
            <w:r>
              <w:rPr>
                <w:rFonts w:hint="eastAsia" w:ascii="Times New Roman" w:hAnsi="Times New Roman"/>
                <w:sz w:val="24"/>
                <w:szCs w:val="24"/>
                <w:lang w:val="en-US" w:eastAsia="zh-CN"/>
              </w:rPr>
              <w:t>0</w:t>
            </w:r>
            <w:r>
              <w:rPr>
                <w:rFonts w:hint="eastAsia" w:ascii="Times New Roman" w:hAnsi="Times New Roman"/>
                <w:sz w:val="24"/>
                <w:szCs w:val="24"/>
              </w:rPr>
              <w:t>min</w:t>
            </w:r>
            <w:r>
              <w:rPr>
                <w:rFonts w:hint="default" w:ascii="Times New Roman" w:hAnsi="Times New Roman"/>
                <w:sz w:val="24"/>
                <w:szCs w:val="24"/>
              </w:rPr>
              <w:t>）</w:t>
            </w:r>
          </w:p>
        </w:tc>
        <w:tc>
          <w:tcPr>
            <w:tcW w:w="5807" w:type="dxa"/>
            <w:tcBorders>
              <w:tl2br w:val="nil"/>
              <w:tr2bl w:val="nil"/>
            </w:tcBorders>
            <w:vAlign w:val="center"/>
          </w:tcPr>
          <w:p w14:paraId="7CAD355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jc w:val="left"/>
              <w:textAlignment w:val="auto"/>
              <w:rPr>
                <w:rFonts w:hint="eastAsia" w:ascii="Times New Roman" w:hAnsi="Times New Roman" w:eastAsia="宋体" w:cs="Times New Roman"/>
                <w:b/>
                <w:bCs w:val="0"/>
                <w:color w:val="C00000"/>
                <w:kern w:val="2"/>
                <w:sz w:val="24"/>
                <w:szCs w:val="24"/>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展示肾功能检查</w:t>
            </w:r>
          </w:p>
          <w:p w14:paraId="47089CF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肾脏主要功能生成尿液，以维持体内水、电解质、蛋白质和酸碱等代谢平衡。肾功能检测包括肾小球滤过功能，肾小管重吸收、酸化等功能。 </w:t>
            </w:r>
          </w:p>
          <w:p w14:paraId="25DC382A">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一、肾小球滤过功能 </w:t>
            </w:r>
          </w:p>
          <w:p w14:paraId="3E47DB8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 xml:space="preserve">（一）血清肌酐（Scr）与血尿素氮（BUN）测定 </w:t>
            </w:r>
          </w:p>
          <w:p w14:paraId="46359D20">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正常参考值：Scr：男性为 53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106μmol/L；女性为 44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97μmol/L。 </w:t>
            </w:r>
          </w:p>
          <w:p w14:paraId="2D9293F8">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 xml:space="preserve">BUN：成人为 3.2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7.1 mmol/L；婴儿、儿童为 l.8 </w:t>
            </w:r>
            <w:r>
              <w:rPr>
                <w:rFonts w:hint="eastAsia" w:ascii="Times New Roman" w:hAnsi="宋体"/>
                <w:bCs/>
                <w:sz w:val="24"/>
                <w:szCs w:val="24"/>
                <w:lang w:val="en-US" w:eastAsia="zh-CN"/>
              </w:rPr>
              <w:t xml:space="preserve">～ </w:t>
            </w:r>
            <w:r>
              <w:rPr>
                <w:rFonts w:hint="default" w:ascii="Times New Roman" w:hAnsi="宋体"/>
                <w:bCs/>
                <w:sz w:val="24"/>
                <w:szCs w:val="24"/>
                <w:lang w:val="en-US" w:eastAsia="zh-CN"/>
              </w:rPr>
              <w:t xml:space="preserve">6.5 mmol/L。 </w:t>
            </w:r>
          </w:p>
          <w:p w14:paraId="267A3D1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1. Scr、BUN 增高</w:t>
            </w:r>
            <w:r>
              <w:rPr>
                <w:rFonts w:hint="default" w:ascii="Times New Roman" w:hAnsi="宋体"/>
                <w:bCs/>
                <w:sz w:val="24"/>
                <w:szCs w:val="24"/>
                <w:lang w:val="en-US" w:eastAsia="zh-CN"/>
              </w:rPr>
              <w:t xml:space="preserve"> 见于各种原因引起的肾小球滤过功能减退：急性肾衰竭，血肌酐明显的进行性的升高为器质性损害的指标，可伴少尿或非少尿；由于肾代偿能力强，故只有在肾单位失去 60% ～ 70% 时，两者才会增高，故其仅对慢性肾功能不全、尿毒症的诊断有价值。 </w:t>
            </w:r>
          </w:p>
          <w:p w14:paraId="6A5329E9">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2.鉴别肾前性和肾实质性少尿</w:t>
            </w:r>
            <w:r>
              <w:rPr>
                <w:rFonts w:hint="default" w:ascii="Times New Roman" w:hAnsi="宋体"/>
                <w:bCs/>
                <w:sz w:val="24"/>
                <w:szCs w:val="24"/>
                <w:lang w:val="en-US" w:eastAsia="zh-CN"/>
              </w:rPr>
              <w:t>器质性肾衰竭Scr常超过200μmol/L。肾前性少尿，如心力衰竭、脱水等所致的有效血容量下降，使肾血流量减少，Scr上升一般不超过200μmol/L，此时BUN升高，但Scr升高不明显，经扩容尿量多能增加，BUN可自行下降。</w:t>
            </w:r>
          </w:p>
          <w:p w14:paraId="1FBAF0D6">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（二）内生肌酐清除率（Ccr）测定</w:t>
            </w:r>
          </w:p>
          <w:p w14:paraId="252A13A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标准24小时留尿计算法</w:t>
            </w:r>
          </w:p>
          <w:p w14:paraId="7D04624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（1）患者连续3天进低蛋白饮食（</w:t>
            </w:r>
            <w:r>
              <w:rPr>
                <w:rFonts w:hint="eastAsia" w:ascii="Times New Roman" w:hAnsi="宋体"/>
                <w:bCs/>
                <w:sz w:val="24"/>
                <w:szCs w:val="24"/>
                <w:lang w:val="en-US" w:eastAsia="zh-CN"/>
              </w:rPr>
              <w:t>＜</w:t>
            </w:r>
            <w:r>
              <w:rPr>
                <w:rFonts w:hint="default" w:ascii="Times New Roman" w:hAnsi="宋体"/>
                <w:bCs/>
                <w:sz w:val="24"/>
                <w:szCs w:val="24"/>
                <w:lang w:val="en-US" w:eastAsia="zh-CN"/>
              </w:rPr>
              <w:t>40g/d），并禁食肉类（无肌酐饮食），避免剧烈运动。</w:t>
            </w:r>
          </w:p>
          <w:p w14:paraId="5AD6D58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（2）于第4天清晨8时将尿液排净，然后收集记录24小时尿量（次日清晨8时尿必须留下），并加入甲苯4</w:t>
            </w:r>
            <w:r>
              <w:rPr>
                <w:rFonts w:hint="eastAsia" w:ascii="Times New Roman" w:hAnsi="宋体"/>
                <w:bCs/>
                <w:sz w:val="24"/>
                <w:szCs w:val="24"/>
                <w:lang w:val="en-US" w:eastAsia="zh-CN"/>
              </w:rPr>
              <w:t>～</w:t>
            </w:r>
            <w:r>
              <w:rPr>
                <w:rFonts w:hint="default" w:ascii="Times New Roman" w:hAnsi="宋体"/>
                <w:bCs/>
                <w:sz w:val="24"/>
                <w:szCs w:val="24"/>
                <w:lang w:val="en-US" w:eastAsia="zh-CN"/>
              </w:rPr>
              <w:t>5mL防腐。取血2</w:t>
            </w:r>
            <w:r>
              <w:rPr>
                <w:rFonts w:hint="eastAsia" w:ascii="Times New Roman" w:hAnsi="宋体"/>
                <w:bCs/>
                <w:sz w:val="24"/>
                <w:szCs w:val="24"/>
                <w:lang w:val="en-US" w:eastAsia="zh-CN"/>
              </w:rPr>
              <w:t>～</w:t>
            </w:r>
            <w:r>
              <w:rPr>
                <w:rFonts w:hint="default" w:ascii="Times New Roman" w:hAnsi="宋体"/>
                <w:bCs/>
                <w:sz w:val="24"/>
                <w:szCs w:val="24"/>
                <w:lang w:val="en-US" w:eastAsia="zh-CN"/>
              </w:rPr>
              <w:t>3mL（抗凝或不抗凝均可），与24小时尿同时送检。</w:t>
            </w:r>
          </w:p>
          <w:p w14:paraId="22D653DF">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（3）测定尿及血中肌酐浓度。</w:t>
            </w:r>
          </w:p>
          <w:p w14:paraId="097F04F2">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（4）应用下列公式计算Ccr：</w:t>
            </w:r>
          </w:p>
          <w:p w14:paraId="79093649">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Ccr（mL/min）=尿肌酐浓度（μmol/L）×每分钟尿量（mL/min）/血浆肌酐浓度（μmol/L）正常参考值：成人为80</w:t>
            </w:r>
            <w:r>
              <w:rPr>
                <w:rFonts w:hint="eastAsia" w:ascii="Times New Roman" w:hAnsi="宋体"/>
                <w:bCs/>
                <w:sz w:val="24"/>
                <w:szCs w:val="24"/>
                <w:lang w:val="en-US" w:eastAsia="zh-CN"/>
              </w:rPr>
              <w:t>～</w:t>
            </w:r>
            <w:r>
              <w:rPr>
                <w:rFonts w:hint="default" w:ascii="Times New Roman" w:hAnsi="宋体"/>
                <w:bCs/>
                <w:sz w:val="24"/>
                <w:szCs w:val="24"/>
                <w:lang w:val="en-US" w:eastAsia="zh-CN"/>
              </w:rPr>
              <w:t>120mL/min，老年人随年龄增长，有自然下降趋势。</w:t>
            </w:r>
          </w:p>
          <w:p w14:paraId="3F57E28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判断肾小球损害的敏感指标：当GFR降低到正常值的50%，Ccr测定值可低至50mL/min，但血肌酐、尿素氮测定仍可在正常范围，故Ccr是较早反映GFR的敏感指标。</w:t>
            </w:r>
          </w:p>
          <w:p w14:paraId="52D3E90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根据Ccr一般可将肾功能分为4期：第1期（肾衰竭代偿期）Ccr为51</w:t>
            </w:r>
            <w:r>
              <w:rPr>
                <w:rFonts w:hint="eastAsia" w:ascii="Times New Roman" w:hAnsi="宋体"/>
                <w:bCs/>
                <w:sz w:val="24"/>
                <w:szCs w:val="24"/>
                <w:lang w:val="en-US" w:eastAsia="zh-CN"/>
              </w:rPr>
              <w:t>～</w:t>
            </w:r>
            <w:r>
              <w:rPr>
                <w:rFonts w:hint="default" w:ascii="Times New Roman" w:hAnsi="宋体"/>
                <w:bCs/>
                <w:sz w:val="24"/>
                <w:szCs w:val="24"/>
                <w:lang w:val="en-US" w:eastAsia="zh-CN"/>
              </w:rPr>
              <w:t>80mL/min；第2期（肾衰竭失代偿期）Ccr为50</w:t>
            </w:r>
            <w:r>
              <w:rPr>
                <w:rFonts w:hint="eastAsia" w:ascii="Times New Roman" w:hAnsi="宋体"/>
                <w:bCs/>
                <w:sz w:val="24"/>
                <w:szCs w:val="24"/>
                <w:lang w:val="en-US" w:eastAsia="zh-CN"/>
              </w:rPr>
              <w:t>～</w:t>
            </w:r>
            <w:r>
              <w:rPr>
                <w:rFonts w:hint="default" w:ascii="Times New Roman" w:hAnsi="宋体"/>
                <w:bCs/>
                <w:sz w:val="24"/>
                <w:szCs w:val="24"/>
                <w:lang w:val="en-US" w:eastAsia="zh-CN"/>
              </w:rPr>
              <w:t>20mL/min；第3期（肾衰竭期）Ccr为19</w:t>
            </w:r>
            <w:r>
              <w:rPr>
                <w:rFonts w:hint="eastAsia" w:ascii="Times New Roman" w:hAnsi="宋体"/>
                <w:bCs/>
                <w:sz w:val="24"/>
                <w:szCs w:val="24"/>
                <w:lang w:val="en-US" w:eastAsia="zh-CN"/>
              </w:rPr>
              <w:t>～</w:t>
            </w:r>
            <w:r>
              <w:rPr>
                <w:rFonts w:hint="default" w:ascii="Times New Roman" w:hAnsi="宋体"/>
                <w:bCs/>
                <w:sz w:val="24"/>
                <w:szCs w:val="24"/>
                <w:lang w:val="en-US" w:eastAsia="zh-CN"/>
              </w:rPr>
              <w:t>10mL/min；第4期（尿毒症期或终末期肾衰竭）Ccr</w:t>
            </w:r>
            <w:r>
              <w:rPr>
                <w:rFonts w:hint="eastAsia" w:ascii="Times New Roman" w:hAnsi="宋体"/>
                <w:bCs/>
                <w:sz w:val="24"/>
                <w:szCs w:val="24"/>
                <w:lang w:val="en-US" w:eastAsia="zh-CN"/>
              </w:rPr>
              <w:t>＜</w:t>
            </w:r>
            <w:r>
              <w:rPr>
                <w:rFonts w:hint="default" w:ascii="Times New Roman" w:hAnsi="宋体"/>
                <w:bCs/>
                <w:sz w:val="24"/>
                <w:szCs w:val="24"/>
                <w:lang w:val="en-US" w:eastAsia="zh-CN"/>
              </w:rPr>
              <w:t>10mL/min。</w:t>
            </w:r>
          </w:p>
          <w:p w14:paraId="49E2AB7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二、肾小管功能监测</w:t>
            </w:r>
          </w:p>
          <w:p w14:paraId="6E4CD9EC">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
                <w:bCs w:val="0"/>
                <w:sz w:val="24"/>
                <w:szCs w:val="24"/>
                <w:lang w:val="en-US" w:eastAsia="zh-CN"/>
              </w:rPr>
            </w:pPr>
            <w:r>
              <w:rPr>
                <w:rFonts w:hint="default" w:ascii="Times New Roman" w:hAnsi="宋体"/>
                <w:b/>
                <w:bCs w:val="0"/>
                <w:sz w:val="24"/>
                <w:szCs w:val="24"/>
                <w:lang w:val="en-US" w:eastAsia="zh-CN"/>
              </w:rPr>
              <w:t>（一）肾浓缩试验</w:t>
            </w:r>
          </w:p>
          <w:p w14:paraId="32365A3A">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肾浓缩试验方法：在试验的24小时内，患者保持日常的饮食和生活习惯，8:00排空膀胱，8:00</w:t>
            </w:r>
            <w:r>
              <w:rPr>
                <w:rFonts w:hint="eastAsia" w:ascii="Times New Roman" w:hAnsi="宋体"/>
                <w:bCs/>
                <w:sz w:val="24"/>
                <w:szCs w:val="24"/>
                <w:lang w:val="en-US" w:eastAsia="zh-CN"/>
              </w:rPr>
              <w:t>至</w:t>
            </w:r>
            <w:r>
              <w:rPr>
                <w:rFonts w:hint="default" w:ascii="Times New Roman" w:hAnsi="宋体"/>
                <w:bCs/>
                <w:sz w:val="24"/>
                <w:szCs w:val="24"/>
                <w:lang w:val="en-US" w:eastAsia="zh-CN"/>
              </w:rPr>
              <w:t>20:00每隔2小时留尿1次，20:00至次日8:00留尿1次，共7个尿标本，分别测定各次尿量和比重。</w:t>
            </w:r>
          </w:p>
          <w:p w14:paraId="7529994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Times New Roman" w:hAnsi="宋体"/>
                <w:bCs/>
                <w:sz w:val="24"/>
                <w:szCs w:val="24"/>
                <w:lang w:val="en-US" w:eastAsia="zh-CN"/>
              </w:rPr>
            </w:pPr>
            <w:r>
              <w:rPr>
                <w:rFonts w:hint="default" w:ascii="Times New Roman" w:hAnsi="宋体"/>
                <w:bCs/>
                <w:sz w:val="24"/>
                <w:szCs w:val="24"/>
                <w:lang w:val="en-US" w:eastAsia="zh-CN"/>
              </w:rPr>
              <w:t>正常参考值：正常人昼尿量与夜尿量之比为3:1</w:t>
            </w:r>
            <w:r>
              <w:rPr>
                <w:rFonts w:hint="eastAsia" w:ascii="Times New Roman" w:hAnsi="宋体"/>
                <w:bCs/>
                <w:sz w:val="24"/>
                <w:szCs w:val="24"/>
                <w:lang w:val="en-US" w:eastAsia="zh-CN"/>
              </w:rPr>
              <w:t>～</w:t>
            </w:r>
            <w:r>
              <w:rPr>
                <w:rFonts w:hint="default" w:ascii="Times New Roman" w:hAnsi="宋体"/>
                <w:bCs/>
                <w:sz w:val="24"/>
                <w:szCs w:val="24"/>
                <w:lang w:val="en-US" w:eastAsia="zh-CN"/>
              </w:rPr>
              <w:t>4:1，12小时夜尿量不应超过750mL；夜尿量超过750mL，为肾功能受损早期表现。昼间各份标本的尿量接近，最高尿比重为1.018，则表示肾浓缩功能不全。若尿比重固定在1.010左右，则说明肾功能损害严重。</w:t>
            </w:r>
          </w:p>
          <w:p w14:paraId="487CF39C">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2" w:firstLineChars="200"/>
              <w:jc w:val="left"/>
              <w:textAlignment w:val="auto"/>
              <w:rPr>
                <w:rFonts w:hint="default" w:ascii="Times New Roman" w:hAnsi="宋体"/>
                <w:bCs/>
                <w:sz w:val="24"/>
                <w:szCs w:val="24"/>
                <w:lang w:val="en-US" w:eastAsia="zh-CN"/>
              </w:rPr>
            </w:pPr>
            <w:r>
              <w:rPr>
                <w:rFonts w:hint="default" w:ascii="Times New Roman" w:hAnsi="宋体"/>
                <w:b/>
                <w:bCs w:val="0"/>
                <w:sz w:val="24"/>
                <w:szCs w:val="24"/>
                <w:lang w:val="en-US" w:eastAsia="zh-CN"/>
              </w:rPr>
              <w:t>（二）尿/血渗透压测定</w:t>
            </w:r>
          </w:p>
          <w:p w14:paraId="2128BCC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360" w:lineRule="auto"/>
              <w:ind w:left="0" w:right="0" w:firstLine="480" w:firstLineChars="200"/>
              <w:jc w:val="left"/>
              <w:textAlignment w:val="auto"/>
              <w:rPr>
                <w:rFonts w:hint="default" w:ascii="方正书宋简体" w:hAnsi="方正书宋简体" w:eastAsia="方正书宋简体" w:cs="方正书宋简体"/>
                <w:color w:val="231F20"/>
                <w:kern w:val="0"/>
                <w:sz w:val="24"/>
                <w:szCs w:val="24"/>
                <w:lang w:val="en-US" w:eastAsia="zh-CN" w:bidi="ar"/>
              </w:rPr>
            </w:pPr>
            <w:r>
              <w:rPr>
                <w:rFonts w:hint="default" w:ascii="Times New Roman" w:hAnsi="宋体"/>
                <w:bCs/>
                <w:sz w:val="24"/>
                <w:szCs w:val="24"/>
                <w:lang w:val="en-US" w:eastAsia="zh-CN"/>
              </w:rPr>
              <w:t>正常人尿液渗透压为600</w:t>
            </w:r>
            <w:r>
              <w:rPr>
                <w:rFonts w:hint="eastAsia" w:ascii="Times New Roman" w:hAnsi="宋体"/>
                <w:bCs/>
                <w:sz w:val="24"/>
                <w:szCs w:val="24"/>
                <w:lang w:val="en-US" w:eastAsia="zh-CN"/>
              </w:rPr>
              <w:t>～</w:t>
            </w:r>
            <w:r>
              <w:rPr>
                <w:rFonts w:hint="default" w:ascii="Times New Roman" w:hAnsi="宋体"/>
                <w:bCs/>
                <w:sz w:val="24"/>
                <w:szCs w:val="24"/>
                <w:lang w:val="en-US" w:eastAsia="zh-CN"/>
              </w:rPr>
              <w:t>1000mmol/L，若患者晨尿渗透压</w:t>
            </w:r>
            <w:r>
              <w:rPr>
                <w:rFonts w:hint="eastAsia" w:ascii="Times New Roman" w:hAnsi="宋体"/>
                <w:bCs/>
                <w:sz w:val="24"/>
                <w:szCs w:val="24"/>
                <w:lang w:val="en-US" w:eastAsia="zh-CN"/>
              </w:rPr>
              <w:t>＜</w:t>
            </w:r>
            <w:r>
              <w:rPr>
                <w:rFonts w:hint="default" w:ascii="Times New Roman" w:hAnsi="宋体"/>
                <w:bCs/>
                <w:sz w:val="24"/>
                <w:szCs w:val="24"/>
                <w:lang w:val="en-US" w:eastAsia="zh-CN"/>
              </w:rPr>
              <w:t>700mmol/L或禁水12小时尿渗透压800mmol/L，说明肾浓缩功能不全。</w:t>
            </w:r>
          </w:p>
          <w:p w14:paraId="7E39295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both"/>
              <w:textAlignment w:val="auto"/>
              <w:rPr>
                <w:rFonts w:hint="eastAsia" w:ascii="宋体" w:hAnsi="宋体" w:eastAsia="宋体" w:cs="宋体"/>
                <w:color w:val="538135"/>
                <w:kern w:val="2"/>
                <w:sz w:val="24"/>
                <w:szCs w:val="24"/>
                <w:lang w:val="en-US" w:eastAsia="zh-CN"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366" w:type="dxa"/>
            <w:tcBorders>
              <w:tl2br w:val="nil"/>
              <w:tr2bl w:val="nil"/>
            </w:tcBorders>
            <w:vAlign w:val="center"/>
          </w:tcPr>
          <w:p w14:paraId="3417B239">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b/>
                <w:sz w:val="24"/>
                <w:szCs w:val="24"/>
              </w:rPr>
              <w:t>通过教师讲解，了解</w:t>
            </w:r>
            <w:r>
              <w:rPr>
                <w:rFonts w:hint="eastAsia" w:ascii="Times New Roman" w:hAnsi="Times New Roman"/>
                <w:b/>
                <w:sz w:val="24"/>
                <w:szCs w:val="24"/>
                <w:lang w:val="en-US" w:eastAsia="zh-CN"/>
              </w:rPr>
              <w:t>肾功能检查</w:t>
            </w:r>
            <w:r>
              <w:rPr>
                <w:rFonts w:hint="eastAsia" w:ascii="Times New Roman" w:hAnsi="Times New Roman"/>
                <w:b/>
                <w:sz w:val="24"/>
                <w:szCs w:val="24"/>
              </w:rPr>
              <w:t>的基本理论知识。</w:t>
            </w:r>
          </w:p>
        </w:tc>
      </w:tr>
      <w:tr w14:paraId="00A11FC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3C947B9D">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0B7041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3min</w:t>
            </w:r>
            <w:r>
              <w:rPr>
                <w:rFonts w:hint="eastAsia" w:ascii="宋体" w:hAnsi="宋体" w:eastAsia="宋体" w:cs="宋体"/>
                <w:kern w:val="2"/>
                <w:sz w:val="24"/>
                <w:szCs w:val="24"/>
                <w:lang w:val="en-US" w:eastAsia="zh-CN" w:bidi="ar"/>
              </w:rPr>
              <w:t>）</w:t>
            </w:r>
          </w:p>
        </w:tc>
        <w:tc>
          <w:tcPr>
            <w:tcW w:w="5807" w:type="dxa"/>
            <w:tcBorders>
              <w:tl2br w:val="nil"/>
              <w:tr2bl w:val="nil"/>
            </w:tcBorders>
            <w:vAlign w:val="center"/>
          </w:tcPr>
          <w:p w14:paraId="64CF9258">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2E8D2A21">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这节课我们一起学习了肾功能检查，了解</w:t>
            </w:r>
            <w:r>
              <w:rPr>
                <w:rFonts w:hint="default" w:ascii="宋体" w:hAnsi="宋体" w:eastAsia="宋体" w:cs="宋体"/>
                <w:b/>
                <w:bCs w:val="0"/>
                <w:kern w:val="2"/>
                <w:sz w:val="24"/>
                <w:szCs w:val="24"/>
                <w:lang w:val="en-US" w:eastAsia="zh-CN" w:bidi="ar"/>
              </w:rPr>
              <w:t>正常人尿液渗透压为600</w:t>
            </w:r>
            <w:r>
              <w:rPr>
                <w:rFonts w:hint="eastAsia" w:ascii="宋体" w:hAnsi="宋体" w:eastAsia="宋体" w:cs="宋体"/>
                <w:b/>
                <w:bCs w:val="0"/>
                <w:kern w:val="2"/>
                <w:sz w:val="24"/>
                <w:szCs w:val="24"/>
                <w:lang w:val="en-US" w:eastAsia="zh-CN" w:bidi="ar"/>
              </w:rPr>
              <w:t>～</w:t>
            </w:r>
            <w:r>
              <w:rPr>
                <w:rFonts w:hint="default" w:ascii="宋体" w:hAnsi="宋体" w:eastAsia="宋体" w:cs="宋体"/>
                <w:b/>
                <w:bCs w:val="0"/>
                <w:kern w:val="2"/>
                <w:sz w:val="24"/>
                <w:szCs w:val="24"/>
                <w:lang w:val="en-US" w:eastAsia="zh-CN" w:bidi="ar"/>
              </w:rPr>
              <w:t>1000mmol/L，若患者晨尿渗透压</w:t>
            </w:r>
            <w:r>
              <w:rPr>
                <w:rFonts w:hint="eastAsia" w:ascii="宋体" w:hAnsi="宋体" w:eastAsia="宋体" w:cs="宋体"/>
                <w:b/>
                <w:bCs w:val="0"/>
                <w:kern w:val="2"/>
                <w:sz w:val="24"/>
                <w:szCs w:val="24"/>
                <w:lang w:val="en-US" w:eastAsia="zh-CN" w:bidi="ar"/>
              </w:rPr>
              <w:t>＜</w:t>
            </w:r>
            <w:r>
              <w:rPr>
                <w:rFonts w:hint="default" w:ascii="宋体" w:hAnsi="宋体" w:eastAsia="宋体" w:cs="宋体"/>
                <w:b/>
                <w:bCs w:val="0"/>
                <w:kern w:val="2"/>
                <w:sz w:val="24"/>
                <w:szCs w:val="24"/>
                <w:lang w:val="en-US" w:eastAsia="zh-CN" w:bidi="ar"/>
              </w:rPr>
              <w:t>700mmol/L或禁水12小时尿渗透压800mmol/L，说明肾浓缩功能不全。</w:t>
            </w:r>
          </w:p>
        </w:tc>
        <w:tc>
          <w:tcPr>
            <w:tcW w:w="1366" w:type="dxa"/>
            <w:tcBorders>
              <w:tl2br w:val="nil"/>
              <w:tr2bl w:val="nil"/>
            </w:tcBorders>
            <w:vAlign w:val="center"/>
          </w:tcPr>
          <w:p w14:paraId="04E37D90">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4119492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73A99FF5">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kern w:val="2"/>
                <w:sz w:val="24"/>
                <w:szCs w:val="24"/>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4"/>
                <w:szCs w:val="24"/>
                <w:lang w:val="en-US" w:eastAsia="zh-CN" w:bidi="ar"/>
              </w:rPr>
              <w:t>（</w:t>
            </w:r>
            <w:r>
              <w:rPr>
                <w:rFonts w:hint="default" w:ascii="Times New Roman" w:hAnsi="Times New Roman" w:eastAsia="宋体" w:cs="Times New Roman"/>
                <w:kern w:val="2"/>
                <w:sz w:val="24"/>
                <w:szCs w:val="24"/>
                <w:lang w:val="en-US" w:eastAsia="zh-CN" w:bidi="ar"/>
              </w:rPr>
              <w:t>2min</w:t>
            </w:r>
            <w:r>
              <w:rPr>
                <w:rFonts w:hint="eastAsia" w:ascii="宋体" w:hAnsi="宋体" w:eastAsia="宋体" w:cs="宋体"/>
                <w:kern w:val="2"/>
                <w:sz w:val="24"/>
                <w:szCs w:val="24"/>
                <w:lang w:val="en-US" w:eastAsia="zh-CN" w:bidi="ar"/>
              </w:rPr>
              <w:t>）</w:t>
            </w:r>
          </w:p>
        </w:tc>
        <w:tc>
          <w:tcPr>
            <w:tcW w:w="5807" w:type="dxa"/>
            <w:tcBorders>
              <w:tl2br w:val="nil"/>
              <w:tr2bl w:val="nil"/>
            </w:tcBorders>
            <w:vAlign w:val="center"/>
          </w:tcPr>
          <w:p w14:paraId="429D9894">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布置课后作业</w:t>
            </w:r>
          </w:p>
          <w:p w14:paraId="01415C58">
            <w:pPr>
              <w:keepNext w:val="0"/>
              <w:keepLines w:val="0"/>
              <w:widowControl w:val="0"/>
              <w:suppressLineNumbers w:val="0"/>
              <w:spacing w:before="0" w:beforeAutospacing="0" w:after="0" w:afterAutospacing="0" w:line="360" w:lineRule="auto"/>
              <w:ind w:left="0" w:leftChars="0" w:right="0" w:rightChars="0" w:firstLine="482" w:firstLineChars="200"/>
              <w:jc w:val="both"/>
              <w:rPr>
                <w:rFonts w:hint="eastAsia" w:ascii="Times New Roman" w:hAnsi="Times New Roman" w:eastAsia="宋体" w:cs="Times New Roman"/>
                <w:b/>
                <w:bCs w:val="0"/>
                <w:kern w:val="2"/>
                <w:sz w:val="24"/>
                <w:szCs w:val="24"/>
                <w:lang w:val="en-US" w:eastAsia="zh-CN" w:bidi="ar-SA"/>
              </w:rPr>
            </w:pPr>
            <w:r>
              <w:rPr>
                <w:rFonts w:hint="eastAsia" w:ascii="Times New Roman" w:hAnsi="宋体"/>
                <w:b/>
                <w:bCs w:val="0"/>
                <w:sz w:val="24"/>
                <w:szCs w:val="24"/>
                <w:lang w:val="en-US" w:eastAsia="zh-CN"/>
              </w:rPr>
              <w:t>简述</w:t>
            </w:r>
            <w:r>
              <w:rPr>
                <w:rFonts w:hint="default" w:ascii="Times New Roman" w:hAnsi="宋体"/>
                <w:b/>
                <w:bCs w:val="0"/>
                <w:sz w:val="24"/>
                <w:szCs w:val="24"/>
                <w:lang w:val="en-US" w:eastAsia="zh-CN"/>
              </w:rPr>
              <w:t>肾小管功能监测</w:t>
            </w:r>
            <w:r>
              <w:rPr>
                <w:rFonts w:hint="eastAsia" w:ascii="Times New Roman" w:hAnsi="宋体"/>
                <w:b/>
                <w:bCs w:val="0"/>
                <w:sz w:val="24"/>
                <w:szCs w:val="24"/>
                <w:lang w:val="en-US" w:eastAsia="zh-CN"/>
              </w:rPr>
              <w:t>。</w:t>
            </w:r>
          </w:p>
        </w:tc>
        <w:tc>
          <w:tcPr>
            <w:tcW w:w="1366" w:type="dxa"/>
            <w:tcBorders>
              <w:tl2br w:val="nil"/>
              <w:tr2bl w:val="nil"/>
            </w:tcBorders>
            <w:vAlign w:val="center"/>
          </w:tcPr>
          <w:p w14:paraId="76EB2C5C">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通过课后练习，使学生巩固所学新知识</w:t>
            </w:r>
          </w:p>
        </w:tc>
      </w:tr>
      <w:tr w14:paraId="77B8ADF4">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276" w:type="dxa"/>
            <w:tcBorders>
              <w:tl2br w:val="nil"/>
              <w:tr2bl w:val="nil"/>
            </w:tcBorders>
            <w:shd w:val="clear" w:color="auto" w:fill="B7F1FF"/>
            <w:vAlign w:val="center"/>
          </w:tcPr>
          <w:p w14:paraId="1E5B672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l2br w:val="nil"/>
              <w:tr2bl w:val="nil"/>
            </w:tcBorders>
            <w:vAlign w:val="center"/>
          </w:tcPr>
          <w:p w14:paraId="023B54B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把学习的主动权交到学生手中，教给他们学法，教师只是在一旁适时地引导，让学生在合作探究中提出问题，发现问题，解决问题，学生学习兴致高。</w:t>
            </w:r>
          </w:p>
        </w:tc>
      </w:tr>
    </w:tbl>
    <w:p w14:paraId="42A2997E"/>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宋体"/>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方正书宋简体">
    <w:altName w:val="宋体"/>
    <w:panose1 w:val="00000000000000000000"/>
    <w:charset w:val="00"/>
    <w:family w:val="auto"/>
    <w:pitch w:val="default"/>
    <w:sig w:usb0="00000000" w:usb1="00000000" w:usb2="00000000" w:usb3="00000000" w:csb0="00000000"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C28E3C">
    <w:pPr>
      <w:pStyle w:val="9"/>
      <w:pBdr>
        <w:bottom w:val="none" w:color="auto" w:sz="0" w:space="1"/>
      </w:pBdr>
      <w:rPr>
        <w:rFonts w:hint="eastAsia" w:eastAsia="宋体"/>
        <w:lang w:eastAsia="zh-CN"/>
      </w:rPr>
    </w:pPr>
    <w:r>
      <w:rPr>
        <w:sz w:val="18"/>
      </w:rP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eastAsia="宋体"/>
        <w:lang w:eastAsia="zh-CN"/>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76D56191">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1DB6F23">
    <w:pPr>
      <w:pStyle w:val="9"/>
      <w:pBdr>
        <w:bottom w:val="none" w:color="auto" w:sz="0" w:space="1"/>
      </w:pBdr>
      <w:rPr>
        <w:rFonts w:hint="eastAsia" w:eastAsia="宋体"/>
        <w:lang w:eastAsia="zh-CN"/>
      </w:rPr>
    </w:pPr>
    <w:r>
      <w:rPr>
        <w:rFonts w:hint="eastAsia" w:eastAsia="宋体"/>
        <w:lang w:eastAsia="zh-CN"/>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7913C76"/>
    <w:rsid w:val="0AC91BFE"/>
    <w:rsid w:val="0C2678A5"/>
    <w:rsid w:val="0E3C75E8"/>
    <w:rsid w:val="1FB84519"/>
    <w:rsid w:val="20F13C9B"/>
    <w:rsid w:val="238347DF"/>
    <w:rsid w:val="24B477DD"/>
    <w:rsid w:val="278141AB"/>
    <w:rsid w:val="28B578A7"/>
    <w:rsid w:val="322A12C5"/>
    <w:rsid w:val="34AD60CD"/>
    <w:rsid w:val="34B67F89"/>
    <w:rsid w:val="368D542E"/>
    <w:rsid w:val="388B134B"/>
    <w:rsid w:val="3D171177"/>
    <w:rsid w:val="436C72A2"/>
    <w:rsid w:val="43CD7F64"/>
    <w:rsid w:val="44B33A23"/>
    <w:rsid w:val="45C91BBA"/>
    <w:rsid w:val="49F8701E"/>
    <w:rsid w:val="4C7F0E23"/>
    <w:rsid w:val="5A7C6694"/>
    <w:rsid w:val="600E33E1"/>
    <w:rsid w:val="6051539B"/>
    <w:rsid w:val="622A303A"/>
    <w:rsid w:val="723010AC"/>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unhideWhenUsed/>
    <w:qFormat/>
    <w:uiPriority w:val="0"/>
    <w:rPr>
      <w:rFonts w:eastAsia="黑体" w:asciiTheme="majorHAnsi" w:hAnsiTheme="majorHAnsi" w:cstheme="majorBidi"/>
      <w:sz w:val="20"/>
      <w:szCs w:val="20"/>
    </w:rPr>
  </w:style>
  <w:style w:type="paragraph" w:styleId="8">
    <w:name w:val="footer"/>
    <w:basedOn w:val="1"/>
    <w:link w:val="19"/>
    <w:unhideWhenUsed/>
    <w:qFormat/>
    <w:uiPriority w:val="99"/>
    <w:pPr>
      <w:tabs>
        <w:tab w:val="center" w:pos="4153"/>
        <w:tab w:val="right" w:pos="8306"/>
      </w:tabs>
      <w:snapToGrid w:val="0"/>
      <w:jc w:val="left"/>
    </w:pPr>
    <w:rPr>
      <w:sz w:val="18"/>
      <w:szCs w:val="18"/>
    </w:rPr>
  </w:style>
  <w:style w:type="paragraph" w:styleId="9">
    <w:name w:val="header"/>
    <w:basedOn w:val="1"/>
    <w:link w:val="18"/>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qFormat/>
    <w:uiPriority w:val="0"/>
    <w:rPr>
      <w:rFonts w:ascii="宋体" w:hAnsi="宋体" w:eastAsia="宋体" w:cs="宋体"/>
      <w:sz w:val="20"/>
      <w:szCs w:val="20"/>
      <w:lang w:val="zh-TW" w:eastAsia="zh-TW" w:bidi="zh-TW"/>
    </w:rPr>
  </w:style>
  <w:style w:type="character" w:customStyle="1" w:styleId="18">
    <w:name w:val="页眉 Char"/>
    <w:basedOn w:val="12"/>
    <w:link w:val="9"/>
    <w:qFormat/>
    <w:uiPriority w:val="99"/>
    <w:rPr>
      <w:rFonts w:ascii="Calibri" w:hAnsi="Calibri" w:eastAsia="宋体" w:cs="Times New Roman"/>
      <w:sz w:val="18"/>
      <w:szCs w:val="18"/>
    </w:rPr>
  </w:style>
  <w:style w:type="character" w:customStyle="1" w:styleId="19">
    <w:name w:val="页脚 Char"/>
    <w:basedOn w:val="12"/>
    <w:link w:val="8"/>
    <w:qFormat/>
    <w:uiPriority w:val="99"/>
    <w:rPr>
      <w:rFonts w:ascii="Calibri" w:hAnsi="Calibri" w:eastAsia="宋体" w:cs="Times New Roman"/>
      <w:sz w:val="18"/>
      <w:szCs w:val="18"/>
    </w:rPr>
  </w:style>
  <w:style w:type="paragraph" w:styleId="20">
    <w:name w:val="List Paragraph"/>
    <w:basedOn w:val="1"/>
    <w:qFormat/>
    <w:uiPriority w:val="34"/>
    <w:pPr>
      <w:ind w:firstLine="420" w:firstLineChars="200"/>
    </w:pPr>
  </w:style>
  <w:style w:type="paragraph" w:customStyle="1" w:styleId="21">
    <w:name w:val="知识拓展内容"/>
    <w:basedOn w:val="1"/>
    <w:link w:val="22"/>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qFormat/>
    <w:uiPriority w:val="0"/>
    <w:rPr>
      <w:rFonts w:ascii="Times New Roman" w:hAnsi="Times New Roman" w:eastAsia="方正宋黑_GBK" w:cs="Times New Roman"/>
      <w:color w:val="E4007F"/>
      <w:sz w:val="26"/>
      <w:szCs w:val="20"/>
    </w:rPr>
  </w:style>
  <w:style w:type="character" w:customStyle="1" w:styleId="24">
    <w:name w:val="字符样式 拼音字体"/>
    <w:qFormat/>
    <w:uiPriority w:val="0"/>
    <w:rPr>
      <w:rFonts w:ascii="PinYinok" w:hAnsi="PinYinok"/>
      <w:sz w:val="24"/>
      <w:szCs w:val="24"/>
    </w:rPr>
  </w:style>
  <w:style w:type="character" w:customStyle="1" w:styleId="25">
    <w:name w:val="标题 5 Char"/>
    <w:basedOn w:val="12"/>
    <w:link w:val="5"/>
    <w:semiHidden/>
    <w:qFormat/>
    <w:uiPriority w:val="9"/>
    <w:rPr>
      <w:rFonts w:ascii="Calibri" w:hAnsi="Calibri" w:eastAsia="宋体" w:cs="Times New Roman"/>
      <w:b/>
      <w:bCs/>
      <w:sz w:val="28"/>
      <w:szCs w:val="28"/>
    </w:rPr>
  </w:style>
  <w:style w:type="character" w:customStyle="1" w:styleId="26">
    <w:name w:val="标题 6 Char"/>
    <w:basedOn w:val="12"/>
    <w:link w:val="6"/>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qFormat/>
    <w:uiPriority w:val="0"/>
    <w:pPr>
      <w:spacing w:before="120"/>
      <w:jc w:val="center"/>
    </w:pPr>
    <w:rPr>
      <w:rFonts w:ascii="Times New Roman" w:hAnsi="Times New Roman"/>
      <w:szCs w:val="20"/>
    </w:rPr>
  </w:style>
  <w:style w:type="character" w:customStyle="1" w:styleId="28">
    <w:name w:val="题注 Char"/>
    <w:link w:val="7"/>
    <w:qFormat/>
    <w:locked/>
    <w:uiPriority w:val="0"/>
    <w:rPr>
      <w:rFonts w:eastAsia="黑体" w:asciiTheme="majorHAnsi" w:hAnsiTheme="majorHAnsi" w:cstheme="majorBidi"/>
      <w:sz w:val="20"/>
      <w:szCs w:val="20"/>
    </w:rPr>
  </w:style>
  <w:style w:type="character" w:customStyle="1" w:styleId="29">
    <w:name w:val="图片 Char"/>
    <w:link w:val="27"/>
    <w:qFormat/>
    <w:locked/>
    <w:uiPriority w:val="0"/>
    <w:rPr>
      <w:rFonts w:ascii="Times New Roman" w:hAnsi="Times New Roman" w:eastAsia="宋体" w:cs="Times New Roman"/>
      <w:szCs w:val="20"/>
    </w:rPr>
  </w:style>
  <w:style w:type="character" w:customStyle="1" w:styleId="30">
    <w:name w:val="标题 3 Char"/>
    <w:basedOn w:val="12"/>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3.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15</Pages>
  <Words>9001</Words>
  <Characters>10244</Characters>
  <Lines>1</Lines>
  <Paragraphs>1</Paragraphs>
  <TotalTime>0</TotalTime>
  <ScaleCrop>false</ScaleCrop>
  <LinksUpToDate>false</LinksUpToDate>
  <CharactersWithSpaces>10786</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2025-09-05T02:03:25Z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70974E8137404EF6B3AD2AFE26C9E985_13</vt:lpwstr>
  </property>
  <property fmtid="{D5CDD505-2E9C-101B-9397-08002B2CF9AE}" pid="4" name="KSOTemplateDocerSaveRecord">
    <vt:lpwstr>eyJoZGlkIjoiMGQ2MWZjZjk2MDJkNDExMGZjMzQxZTk4OTVmYzBiNzYifQ==</vt:lpwstr>
  </property>
</Properties>
</file>